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0"/>
        <w:rPr>
          <w:rFonts w:cs="Arial"/>
          <w:b/>
          <w:bCs/>
          <w:kern w:val="32"/>
          <w:sz w:val="26"/>
          <w:szCs w:val="32"/>
        </w:rPr>
      </w:pPr>
      <w:r w:rsidRPr="00AF28A9">
        <w:rPr>
          <w:rFonts w:cs="Arial"/>
          <w:b/>
          <w:bCs/>
          <w:kern w:val="32"/>
          <w:sz w:val="26"/>
          <w:szCs w:val="32"/>
        </w:rPr>
        <w:t>Halbjahreszahlen der Kreditbanken: Deutliches Wachstum bei Krediten für Neuwagen</w:t>
      </w:r>
    </w:p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after="360" w:line="360" w:lineRule="exact"/>
        <w:rPr>
          <w:szCs w:val="24"/>
        </w:rPr>
      </w:pPr>
      <w:r w:rsidRPr="00AF28A9">
        <w:rPr>
          <w:szCs w:val="24"/>
        </w:rPr>
        <w:t>Berlin, 22. August 2018. Im ersten Halbjahr haben die Kreditbanken ihre Finanzi</w:t>
      </w:r>
      <w:r w:rsidRPr="00AF28A9">
        <w:rPr>
          <w:szCs w:val="24"/>
        </w:rPr>
        <w:t>e</w:t>
      </w:r>
      <w:r w:rsidRPr="00AF28A9">
        <w:rPr>
          <w:szCs w:val="24"/>
        </w:rPr>
        <w:t>rungen weiter ausgebaut. Sie vergaben neue Kredite im Wert von 77,3 Milliarden Euro an Verbraucher und Unternehmen. Das waren 4,9 Prozent mehr als im Vo</w:t>
      </w:r>
      <w:r w:rsidRPr="00AF28A9">
        <w:rPr>
          <w:szCs w:val="24"/>
        </w:rPr>
        <w:t>r</w:t>
      </w:r>
      <w:r w:rsidRPr="00AF28A9">
        <w:rPr>
          <w:szCs w:val="24"/>
        </w:rPr>
        <w:t>jahreszeitraum. Grund ist vor allem der Zuwachs an Kfz-Krediten.</w:t>
      </w:r>
    </w:p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line="360" w:lineRule="exact"/>
        <w:rPr>
          <w:szCs w:val="24"/>
        </w:rPr>
      </w:pPr>
      <w:r w:rsidRPr="00AF28A9">
        <w:rPr>
          <w:b/>
          <w:szCs w:val="24"/>
        </w:rPr>
        <w:t>Eine Million Kfz per Kredit</w:t>
      </w:r>
    </w:p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after="360" w:line="360" w:lineRule="exact"/>
        <w:rPr>
          <w:szCs w:val="24"/>
        </w:rPr>
      </w:pPr>
      <w:r w:rsidRPr="00AF28A9">
        <w:rPr>
          <w:szCs w:val="24"/>
        </w:rPr>
        <w:t>Die Kreditbanken finanzierten in den ersten sechs Monaten über eine Million Kraf</w:t>
      </w:r>
      <w:r w:rsidRPr="00AF28A9">
        <w:rPr>
          <w:szCs w:val="24"/>
        </w:rPr>
        <w:t>t</w:t>
      </w:r>
      <w:r w:rsidRPr="00AF28A9">
        <w:rPr>
          <w:szCs w:val="24"/>
        </w:rPr>
        <w:t>fahrzeuge per Kredit – ein Plus von 5,5 Prozent. Zugenommen haben insbesondere Kredite für Neuwagen, und zwar um 8,3 Prozent. Sie sind damit stärker gewac</w:t>
      </w:r>
      <w:r w:rsidRPr="00AF28A9">
        <w:rPr>
          <w:szCs w:val="24"/>
        </w:rPr>
        <w:t>h</w:t>
      </w:r>
      <w:r w:rsidRPr="00AF28A9">
        <w:rPr>
          <w:szCs w:val="24"/>
        </w:rPr>
        <w:t>sen als die bundesweiten Pkw-Neuzulassungen, die im selben Zeitraum nur um 2,9 Prozent zulegten. Bei den Besitzumschreibungen von Gebrauchtwagen sind die Kreditbanken noch deutlicher gegen den Markttrend gewachsen. Während im er</w:t>
      </w:r>
      <w:r w:rsidRPr="00AF28A9">
        <w:rPr>
          <w:szCs w:val="24"/>
        </w:rPr>
        <w:t>s</w:t>
      </w:r>
      <w:r w:rsidRPr="00AF28A9">
        <w:rPr>
          <w:szCs w:val="24"/>
        </w:rPr>
        <w:t>ten Halbjahr 2,1 Prozent weniger Pkw den Besitzer wechselten, finanzierten die Institute 4,0 Prozent mehr Gebrauchtwagen. „Das Interesse der Verbraucher, A</w:t>
      </w:r>
      <w:r w:rsidRPr="00AF28A9">
        <w:rPr>
          <w:szCs w:val="24"/>
        </w:rPr>
        <w:t>u</w:t>
      </w:r>
      <w:r w:rsidRPr="00AF28A9">
        <w:rPr>
          <w:szCs w:val="24"/>
        </w:rPr>
        <w:t>tos nicht bar zu bezahlen, sondern zu finanzieren, nimmt zu", sagt Jens Loa, G</w:t>
      </w:r>
      <w:r w:rsidRPr="00AF28A9">
        <w:rPr>
          <w:szCs w:val="24"/>
        </w:rPr>
        <w:t>e</w:t>
      </w:r>
      <w:r w:rsidRPr="00AF28A9">
        <w:rPr>
          <w:szCs w:val="24"/>
        </w:rPr>
        <w:t>schäftsführer des Bankenfachverbandes.</w:t>
      </w:r>
    </w:p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line="360" w:lineRule="exact"/>
        <w:rPr>
          <w:b/>
          <w:szCs w:val="24"/>
        </w:rPr>
      </w:pPr>
      <w:r w:rsidRPr="00AF28A9">
        <w:rPr>
          <w:b/>
          <w:szCs w:val="24"/>
        </w:rPr>
        <w:t>Private Kfz-Finanzierungen wachsen stärker als gewerbliche</w:t>
      </w:r>
    </w:p>
    <w:p w:rsidR="00AF28A9" w:rsidRPr="00AF28A9" w:rsidRDefault="00AF28A9" w:rsidP="00AF28A9">
      <w:pPr>
        <w:tabs>
          <w:tab w:val="left" w:pos="1239"/>
          <w:tab w:val="left" w:pos="3686"/>
          <w:tab w:val="right" w:pos="8845"/>
        </w:tabs>
        <w:spacing w:after="360" w:line="360" w:lineRule="exact"/>
        <w:rPr>
          <w:szCs w:val="24"/>
        </w:rPr>
      </w:pPr>
      <w:r w:rsidRPr="00AF28A9">
        <w:rPr>
          <w:szCs w:val="24"/>
        </w:rPr>
        <w:t>Kraftfahrzeuge zählen zu den wichtigsten Finanzierungsgütern – sowohl für Unte</w:t>
      </w:r>
      <w:r w:rsidRPr="00AF28A9">
        <w:rPr>
          <w:szCs w:val="24"/>
        </w:rPr>
        <w:t>r</w:t>
      </w:r>
      <w:r w:rsidRPr="00AF28A9">
        <w:rPr>
          <w:szCs w:val="24"/>
        </w:rPr>
        <w:t>nehmen als auch für Verbraucher. Entsprechend entfallen mehr als die Hälfte der Investitionsfinanzierungen der Kreditbanken und über 40 Prozent ihrer Konsumf</w:t>
      </w:r>
      <w:r w:rsidRPr="00AF28A9">
        <w:rPr>
          <w:szCs w:val="24"/>
        </w:rPr>
        <w:t>i</w:t>
      </w:r>
      <w:r w:rsidRPr="00AF28A9">
        <w:rPr>
          <w:szCs w:val="24"/>
        </w:rPr>
        <w:t xml:space="preserve">nanzierungen auf Kfz-Kredite. Die Kfz-Finanzierungen </w:t>
      </w:r>
      <w:bookmarkStart w:id="0" w:name="_GoBack"/>
      <w:bookmarkEnd w:id="0"/>
      <w:r w:rsidRPr="00AF28A9">
        <w:rPr>
          <w:szCs w:val="24"/>
        </w:rPr>
        <w:t>an Privatpersonen weisen dabei mit einem Plus von 12,0 Prozent das stärkste Wachstum auf, während Kfz-Kredite an Unternehmen nur um 1,0 Prozent zunahmen. „Bei Kraftfahrzeugen sind Verbraucher derzeit investitionsfreudiger als Unternehmen", so Loa.</w:t>
      </w:r>
    </w:p>
    <w:p w:rsidR="00980FA5" w:rsidRDefault="00AF28A9" w:rsidP="00AF28A9">
      <w:pPr>
        <w:rPr>
          <w:sz w:val="18"/>
          <w:szCs w:val="18"/>
        </w:rPr>
      </w:pPr>
      <w:r w:rsidRPr="00AF28A9">
        <w:rPr>
          <w:b/>
          <w:sz w:val="18"/>
          <w:szCs w:val="18"/>
        </w:rPr>
        <w:t>Der Bankenfachverband</w:t>
      </w:r>
      <w:r w:rsidRPr="00AF28A9">
        <w:rPr>
          <w:sz w:val="18"/>
          <w:szCs w:val="18"/>
        </w:rPr>
        <w:t xml:space="preserve"> (BFACH) vertritt die Interessen der Kreditbanken in Deutschland. Seine Mi</w:t>
      </w:r>
      <w:r w:rsidRPr="00AF28A9">
        <w:rPr>
          <w:sz w:val="18"/>
          <w:szCs w:val="18"/>
        </w:rPr>
        <w:t>t</w:t>
      </w:r>
      <w:r w:rsidRPr="00AF28A9">
        <w:rPr>
          <w:sz w:val="18"/>
          <w:szCs w:val="18"/>
        </w:rPr>
        <w:t>glieder sind die Experten für die Finanzierung von Konsum- und Investitionsgütern wie Kraftfahrze</w:t>
      </w:r>
      <w:r w:rsidRPr="00AF28A9">
        <w:rPr>
          <w:sz w:val="18"/>
          <w:szCs w:val="18"/>
        </w:rPr>
        <w:t>u</w:t>
      </w:r>
      <w:r w:rsidRPr="00AF28A9">
        <w:rPr>
          <w:sz w:val="18"/>
          <w:szCs w:val="18"/>
        </w:rPr>
        <w:t>gen. Die Kreditbanken haben mehr als 170 Milliarden Euro an Verbraucher und Unternehmen ausg</w:t>
      </w:r>
      <w:r w:rsidRPr="00AF28A9">
        <w:rPr>
          <w:sz w:val="18"/>
          <w:szCs w:val="18"/>
        </w:rPr>
        <w:t>e</w:t>
      </w:r>
      <w:r w:rsidRPr="00AF28A9">
        <w:rPr>
          <w:sz w:val="18"/>
          <w:szCs w:val="18"/>
        </w:rPr>
        <w:t>liehen und fördern damit Wirtschaft und Konjunktur. Mehr als jeder zweite Ratenkredit stammt von den Kreditbanken.</w:t>
      </w:r>
    </w:p>
    <w:p w:rsidR="00980FA5" w:rsidRDefault="00980FA5" w:rsidP="00AF28A9">
      <w:pPr>
        <w:rPr>
          <w:sz w:val="18"/>
          <w:szCs w:val="18"/>
        </w:rPr>
      </w:pPr>
    </w:p>
    <w:p w:rsidR="00CC093A" w:rsidRDefault="00AF28A9" w:rsidP="00AF28A9">
      <w:pPr>
        <w:rPr>
          <w:sz w:val="18"/>
          <w:szCs w:val="18"/>
        </w:rPr>
      </w:pPr>
      <w:r w:rsidRPr="00AF28A9">
        <w:rPr>
          <w:b/>
          <w:sz w:val="18"/>
          <w:szCs w:val="18"/>
        </w:rPr>
        <w:t xml:space="preserve">Anlage: </w:t>
      </w:r>
      <w:r w:rsidRPr="00AF28A9">
        <w:rPr>
          <w:sz w:val="18"/>
          <w:szCs w:val="18"/>
        </w:rPr>
        <w:t xml:space="preserve">Halbjahreszahlen 2018 – Kreditbanken </w:t>
      </w:r>
      <w:r w:rsidRPr="00AF28A9">
        <w:rPr>
          <w:b/>
          <w:sz w:val="18"/>
          <w:szCs w:val="18"/>
        </w:rPr>
        <w:t>Textfassung</w:t>
      </w:r>
      <w:r w:rsidRPr="00AF28A9">
        <w:rPr>
          <w:sz w:val="18"/>
          <w:szCs w:val="18"/>
        </w:rPr>
        <w:t>: www.bfach.de / Presse / 22.08.18</w:t>
      </w:r>
      <w:r w:rsidRPr="00AF28A9">
        <w:rPr>
          <w:sz w:val="18"/>
          <w:szCs w:val="18"/>
        </w:rPr>
        <w:br/>
      </w:r>
      <w:r w:rsidRPr="00AF28A9">
        <w:rPr>
          <w:b/>
          <w:sz w:val="18"/>
          <w:szCs w:val="18"/>
        </w:rPr>
        <w:t xml:space="preserve">Kontakt: </w:t>
      </w:r>
      <w:r w:rsidRPr="00AF28A9">
        <w:rPr>
          <w:sz w:val="18"/>
          <w:szCs w:val="18"/>
        </w:rPr>
        <w:t>BFACH, Stephan Moll, Leiter Markt/PR, Tel. 030 2462596-14, stephan.moll@bfach.de</w:t>
      </w:r>
      <w:r w:rsidR="00CC093A">
        <w:rPr>
          <w:sz w:val="18"/>
          <w:szCs w:val="18"/>
        </w:rPr>
        <w:br w:type="page"/>
      </w:r>
    </w:p>
    <w:p w:rsidR="00AF28A9" w:rsidRPr="001F3236" w:rsidRDefault="00AF28A9" w:rsidP="00AF28A9">
      <w:pPr>
        <w:rPr>
          <w:b/>
          <w:bCs/>
        </w:rPr>
      </w:pPr>
      <w:r w:rsidRPr="001F3236">
        <w:rPr>
          <w:b/>
          <w:bCs/>
        </w:rPr>
        <w:lastRenderedPageBreak/>
        <w:t>Halbjahreszahlen 2018</w:t>
      </w:r>
    </w:p>
    <w:p w:rsidR="00AF28A9" w:rsidRPr="001F3236" w:rsidRDefault="00AF28A9" w:rsidP="00AF28A9">
      <w:pPr>
        <w:rPr>
          <w:bCs/>
        </w:rPr>
      </w:pPr>
      <w:r w:rsidRPr="001F3236">
        <w:rPr>
          <w:bCs/>
        </w:rPr>
        <w:t>Geschäftsentwicklung der Kreditbanken</w:t>
      </w:r>
    </w:p>
    <w:p w:rsidR="00AF28A9" w:rsidRPr="001F3236" w:rsidRDefault="00AF28A9" w:rsidP="00AF28A9">
      <w:pPr>
        <w:rPr>
          <w:bCs/>
        </w:rPr>
      </w:pPr>
    </w:p>
    <w:p w:rsidR="00AF28A9" w:rsidRPr="001F3236" w:rsidRDefault="00AF28A9" w:rsidP="00AF28A9">
      <w:pPr>
        <w:rPr>
          <w:bCs/>
        </w:rPr>
      </w:pPr>
    </w:p>
    <w:tbl>
      <w:tblPr>
        <w:tblW w:w="8545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94"/>
        <w:gridCol w:w="307"/>
        <w:gridCol w:w="1409"/>
        <w:gridCol w:w="1324"/>
      </w:tblGrid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bottom w:val="single" w:sz="6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  <w:rPr>
                <w:b/>
              </w:rPr>
            </w:pPr>
            <w:r w:rsidRPr="001F3236">
              <w:rPr>
                <w:b/>
              </w:rPr>
              <w:t xml:space="preserve">HJ2018 </w:t>
            </w:r>
          </w:p>
        </w:tc>
        <w:tc>
          <w:tcPr>
            <w:tcW w:w="307" w:type="dxa"/>
            <w:tcBorders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  <w:rPr>
                <w:b/>
              </w:rPr>
            </w:pPr>
            <w:r w:rsidRPr="001F3236">
              <w:rPr>
                <w:b/>
              </w:rPr>
              <w:t xml:space="preserve">+/- (%) </w:t>
            </w: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</w:pPr>
            <w:r w:rsidRPr="001F3236">
              <w:t>zu HJ2017</w:t>
            </w: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rPr>
                <w:b/>
              </w:rPr>
            </w:pPr>
            <w:r w:rsidRPr="001F3236">
              <w:rPr>
                <w:b/>
              </w:rPr>
              <w:t xml:space="preserve">Kennzahlen gesamt </w:t>
            </w:r>
            <w:r w:rsidRPr="001F3236">
              <w:rPr>
                <w:sz w:val="20"/>
                <w:szCs w:val="20"/>
              </w:rPr>
              <w:t>(Mrd. Euro)</w:t>
            </w:r>
          </w:p>
        </w:tc>
        <w:tc>
          <w:tcPr>
            <w:tcW w:w="1394" w:type="dxa"/>
            <w:tcBorders>
              <w:top w:val="single" w:sz="6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6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6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6" w:space="0" w:color="999999"/>
              <w:left w:val="single" w:sz="4" w:space="0" w:color="999999"/>
              <w:bottom w:val="single" w:sz="4" w:space="0" w:color="FFFFFF" w:themeColor="background1"/>
              <w:right w:val="single" w:sz="6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6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Kreditneugeschäft </w:t>
            </w:r>
            <w:r w:rsidRPr="001F3236">
              <w:rPr>
                <w:sz w:val="20"/>
                <w:szCs w:val="20"/>
              </w:rPr>
              <w:t>(01.01.-30.06.18)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77,3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+4,9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6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6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Kreditbestand </w:t>
            </w:r>
            <w:r w:rsidRPr="001F3236">
              <w:rPr>
                <w:sz w:val="20"/>
                <w:szCs w:val="20"/>
              </w:rPr>
              <w:t>(30.06.18)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171,8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+8,2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6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Finanzierte Kfz </w:t>
            </w:r>
            <w:r w:rsidRPr="001F3236">
              <w:rPr>
                <w:sz w:val="20"/>
                <w:szCs w:val="20"/>
              </w:rPr>
              <w:t>(Stück)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1.005.968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+5,5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6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30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rPr>
                <w:b/>
              </w:rPr>
            </w:pPr>
            <w:r w:rsidRPr="001F3236">
              <w:rPr>
                <w:b/>
              </w:rPr>
              <w:t xml:space="preserve">Pkw-Finanzierung </w:t>
            </w:r>
            <w:r w:rsidRPr="001F3236">
              <w:rPr>
                <w:sz w:val="20"/>
                <w:szCs w:val="20"/>
              </w:rPr>
              <w:t>(Stück)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inset" w:sz="6" w:space="0" w:color="FFFFFF" w:themeColor="background1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>Stückzahlen gesamt</w:t>
            </w:r>
          </w:p>
        </w:tc>
        <w:tc>
          <w:tcPr>
            <w:tcW w:w="1394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  <w:r w:rsidRPr="001F3236">
              <w:t>949.738</w:t>
            </w:r>
          </w:p>
        </w:tc>
        <w:tc>
          <w:tcPr>
            <w:tcW w:w="307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+5,8</w:t>
            </w:r>
          </w:p>
        </w:tc>
        <w:tc>
          <w:tcPr>
            <w:tcW w:w="1324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inset" w:sz="6" w:space="0" w:color="FFFFFF" w:themeColor="background1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   Davon: Neu</w:t>
            </w:r>
          </w:p>
        </w:tc>
        <w:tc>
          <w:tcPr>
            <w:tcW w:w="1394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  <w:r w:rsidRPr="001F3236">
              <w:t>404.595</w:t>
            </w:r>
          </w:p>
        </w:tc>
        <w:tc>
          <w:tcPr>
            <w:tcW w:w="307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+8,3</w:t>
            </w:r>
          </w:p>
        </w:tc>
        <w:tc>
          <w:tcPr>
            <w:tcW w:w="1324" w:type="dxa"/>
            <w:tcBorders>
              <w:top w:val="inset" w:sz="6" w:space="0" w:color="FFFFFF" w:themeColor="background1"/>
              <w:left w:val="single" w:sz="4" w:space="0" w:color="999999"/>
              <w:bottom w:val="inset" w:sz="6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inset" w:sz="6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   Davon: Gebraucht</w:t>
            </w:r>
          </w:p>
        </w:tc>
        <w:tc>
          <w:tcPr>
            <w:tcW w:w="1394" w:type="dxa"/>
            <w:tcBorders>
              <w:top w:val="inset" w:sz="6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  <w:r w:rsidRPr="001F3236">
              <w:t>545.143</w:t>
            </w:r>
          </w:p>
        </w:tc>
        <w:tc>
          <w:tcPr>
            <w:tcW w:w="307" w:type="dxa"/>
            <w:tcBorders>
              <w:top w:val="inset" w:sz="6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inset" w:sz="6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+4,0</w:t>
            </w:r>
          </w:p>
        </w:tc>
        <w:tc>
          <w:tcPr>
            <w:tcW w:w="1324" w:type="dxa"/>
            <w:tcBorders>
              <w:top w:val="inset" w:sz="6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6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30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rPr>
                <w:b/>
                <w:sz w:val="20"/>
                <w:szCs w:val="20"/>
              </w:rPr>
            </w:pPr>
            <w:r w:rsidRPr="001F3236">
              <w:rPr>
                <w:b/>
              </w:rPr>
              <w:t>Konsumfinanzierung</w:t>
            </w:r>
            <w:r w:rsidRPr="001F3236">
              <w:rPr>
                <w:b/>
                <w:sz w:val="20"/>
                <w:szCs w:val="20"/>
              </w:rPr>
              <w:t xml:space="preserve"> </w:t>
            </w:r>
            <w:r w:rsidRPr="001F3236">
              <w:rPr>
                <w:sz w:val="20"/>
                <w:szCs w:val="20"/>
              </w:rPr>
              <w:t>(Mrd. Euro)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>Kreditneugeschäft mit Verbrauchern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32,0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+9,5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   Anteil Kfz-Finanzierungen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13,1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+12,0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Kreditbestand 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124,0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+9,1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rPr>
                <w:b/>
              </w:rPr>
              <w:t>Investitionsfinanzierung</w:t>
            </w:r>
            <w:r w:rsidRPr="001F3236">
              <w:rPr>
                <w:b/>
                <w:sz w:val="20"/>
                <w:szCs w:val="20"/>
              </w:rPr>
              <w:t xml:space="preserve"> </w:t>
            </w:r>
            <w:r w:rsidRPr="001F3236">
              <w:rPr>
                <w:sz w:val="20"/>
                <w:szCs w:val="20"/>
              </w:rPr>
              <w:t>(Mrd. Euro)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>Kreditneugeschäft mit Unternehmen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8,0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+2,6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   Anteil Kfz-Finanzierungen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4,3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+1,0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Kreditbestand 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25,5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+7,6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FFFFF" w:themeFill="background1"/>
          </w:tcPr>
          <w:p w:rsidR="00AF28A9" w:rsidRPr="001F3236" w:rsidRDefault="00AF28A9" w:rsidP="00AC51C6">
            <w:pPr>
              <w:spacing w:after="264" w:line="264" w:lineRule="auto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FFFFF" w:themeFill="background1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FFFFF" w:themeFill="background1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rPr>
                <w:b/>
              </w:rPr>
            </w:pPr>
            <w:r w:rsidRPr="001F3236">
              <w:rPr>
                <w:b/>
              </w:rPr>
              <w:t>Einkaufsfinanzierung</w:t>
            </w:r>
            <w:r w:rsidRPr="001F3236">
              <w:rPr>
                <w:b/>
                <w:sz w:val="20"/>
                <w:szCs w:val="20"/>
              </w:rPr>
              <w:t xml:space="preserve"> </w:t>
            </w:r>
            <w:r w:rsidRPr="001F3236">
              <w:rPr>
                <w:sz w:val="20"/>
                <w:szCs w:val="20"/>
              </w:rPr>
              <w:t>(Mrd. Euro)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>Kreditneugeschäft mit Händlern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36,4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+1,9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Kreditbestand 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18,5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+4,0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rPr>
                <w:b/>
              </w:rPr>
            </w:pPr>
            <w:r w:rsidRPr="001F3236">
              <w:rPr>
                <w:b/>
              </w:rPr>
              <w:t>Forderungsankauf</w:t>
            </w:r>
            <w:r w:rsidRPr="001F3236">
              <w:rPr>
                <w:b/>
                <w:sz w:val="20"/>
                <w:szCs w:val="20"/>
              </w:rPr>
              <w:t xml:space="preserve"> </w:t>
            </w:r>
            <w:r w:rsidRPr="001F3236">
              <w:rPr>
                <w:sz w:val="20"/>
                <w:szCs w:val="20"/>
              </w:rPr>
              <w:t>(Mrd. Euro)</w:t>
            </w: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29" w:hanging="290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 xml:space="preserve">Kreditneugeschäft 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0,9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-4,4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340"/>
        </w:trPr>
        <w:tc>
          <w:tcPr>
            <w:tcW w:w="4111" w:type="dxa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</w:pPr>
            <w:r w:rsidRPr="001F3236">
              <w:t>Kreditbestand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3,8</w:t>
            </w: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  <w:r w:rsidRPr="001F3236">
              <w:t>+6,7</w:t>
            </w: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  <w:tr w:rsidR="00AF28A9" w:rsidRPr="001F3236" w:rsidTr="00980FA5">
        <w:trPr>
          <w:trHeight w:hRule="exact" w:val="170"/>
        </w:trPr>
        <w:tc>
          <w:tcPr>
            <w:tcW w:w="4111" w:type="dxa"/>
            <w:tcBorders>
              <w:top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</w:pPr>
          </w:p>
        </w:tc>
        <w:tc>
          <w:tcPr>
            <w:tcW w:w="13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30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AF28A9" w:rsidRPr="001F3236" w:rsidRDefault="00AF28A9" w:rsidP="00AC51C6">
            <w:pPr>
              <w:spacing w:after="264" w:line="264" w:lineRule="auto"/>
              <w:jc w:val="right"/>
            </w:pPr>
          </w:p>
        </w:tc>
        <w:tc>
          <w:tcPr>
            <w:tcW w:w="13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28A9" w:rsidRPr="001F3236" w:rsidRDefault="00AF28A9" w:rsidP="00AC51C6">
            <w:pPr>
              <w:spacing w:after="264" w:line="264" w:lineRule="auto"/>
              <w:ind w:left="189" w:hanging="189"/>
              <w:jc w:val="right"/>
            </w:pPr>
          </w:p>
        </w:tc>
      </w:tr>
    </w:tbl>
    <w:p w:rsidR="00832CAD" w:rsidRDefault="00832CAD" w:rsidP="00832CAD"/>
    <w:p w:rsidR="00832CAD" w:rsidRPr="00C8715C" w:rsidRDefault="00832CAD" w:rsidP="00832CAD">
      <w:r>
        <w:t>Anlage zur Presseinformation vom 22.08.18</w:t>
      </w:r>
    </w:p>
    <w:sectPr w:rsidR="00832CAD" w:rsidRPr="00C8715C" w:rsidSect="00832CAD">
      <w:headerReference w:type="default" r:id="rId8"/>
      <w:footerReference w:type="default" r:id="rId9"/>
      <w:pgSz w:w="11906" w:h="16838"/>
      <w:pgMar w:top="226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B" w:rsidRDefault="0006280B" w:rsidP="00852A78">
      <w:r>
        <w:separator/>
      </w:r>
    </w:p>
  </w:endnote>
  <w:endnote w:type="continuationSeparator" w:id="0">
    <w:p w:rsidR="0006280B" w:rsidRDefault="0006280B" w:rsidP="008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63CF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63CF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B" w:rsidRDefault="0006280B" w:rsidP="00852A78">
      <w:r>
        <w:separator/>
      </w:r>
    </w:p>
  </w:footnote>
  <w:footnote w:type="continuationSeparator" w:id="0">
    <w:p w:rsidR="0006280B" w:rsidRDefault="0006280B" w:rsidP="008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Presse-Information vom </w:t>
    </w:r>
    <w:r w:rsidR="00AF28A9">
      <w:rPr>
        <w:sz w:val="18"/>
        <w:szCs w:val="18"/>
      </w:rPr>
      <w:t>22</w:t>
    </w:r>
    <w:r>
      <w:rPr>
        <w:sz w:val="18"/>
        <w:szCs w:val="18"/>
      </w:rPr>
      <w:t>.</w:t>
    </w:r>
    <w:r w:rsidR="00CC093A">
      <w:rPr>
        <w:sz w:val="18"/>
        <w:szCs w:val="18"/>
      </w:rPr>
      <w:t>08</w:t>
    </w:r>
    <w:r>
      <w:rPr>
        <w:sz w:val="18"/>
        <w:szCs w:val="18"/>
      </w:rPr>
      <w:t>.</w:t>
    </w:r>
    <w:r w:rsidR="00CC093A">
      <w:rPr>
        <w:sz w:val="18"/>
        <w:szCs w:val="18"/>
      </w:rPr>
      <w:t>1</w:t>
    </w:r>
    <w:r w:rsidR="00AF28A9">
      <w:rPr>
        <w:sz w:val="18"/>
        <w:szCs w:val="18"/>
      </w:rPr>
      <w:t>8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23"/>
    <w:multiLevelType w:val="hybridMultilevel"/>
    <w:tmpl w:val="285836B6"/>
    <w:lvl w:ilvl="0" w:tplc="339648A2">
      <w:start w:val="1"/>
      <w:numFmt w:val="bullet"/>
      <w:lvlText w:val="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1">
    <w:nsid w:val="57E240A1"/>
    <w:multiLevelType w:val="hybridMultilevel"/>
    <w:tmpl w:val="285836B6"/>
    <w:lvl w:ilvl="0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2">
    <w:nsid w:val="7B6357A8"/>
    <w:multiLevelType w:val="hybridMultilevel"/>
    <w:tmpl w:val="0DB68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5"/>
    <w:rsid w:val="0006280B"/>
    <w:rsid w:val="0007487F"/>
    <w:rsid w:val="00263CFC"/>
    <w:rsid w:val="00384313"/>
    <w:rsid w:val="0044733C"/>
    <w:rsid w:val="00716D55"/>
    <w:rsid w:val="00832CAD"/>
    <w:rsid w:val="00852A78"/>
    <w:rsid w:val="008B4D6C"/>
    <w:rsid w:val="00980FA5"/>
    <w:rsid w:val="009E432C"/>
    <w:rsid w:val="00AF28A9"/>
    <w:rsid w:val="00C511CF"/>
    <w:rsid w:val="00C8715C"/>
    <w:rsid w:val="00CC093A"/>
    <w:rsid w:val="00D25380"/>
    <w:rsid w:val="00D45863"/>
    <w:rsid w:val="00D53145"/>
    <w:rsid w:val="00D765EA"/>
    <w:rsid w:val="00D77E86"/>
    <w:rsid w:val="00E15716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63C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63C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Bankenfachverband e. V.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elke haag</dc:creator>
  <cp:lastModifiedBy>Elke Haag</cp:lastModifiedBy>
  <cp:revision>9</cp:revision>
  <cp:lastPrinted>2018-08-20T12:51:00Z</cp:lastPrinted>
  <dcterms:created xsi:type="dcterms:W3CDTF">2017-08-23T14:00:00Z</dcterms:created>
  <dcterms:modified xsi:type="dcterms:W3CDTF">2018-08-20T12:51:00Z</dcterms:modified>
</cp:coreProperties>
</file>