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52" w:rsidRPr="009F6E52" w:rsidRDefault="009F6E52" w:rsidP="009F6E52">
      <w:pPr>
        <w:tabs>
          <w:tab w:val="left" w:pos="1239"/>
          <w:tab w:val="left" w:pos="3686"/>
          <w:tab w:val="right" w:pos="8845"/>
        </w:tabs>
        <w:spacing w:after="360" w:line="360" w:lineRule="exact"/>
        <w:outlineLvl w:val="0"/>
        <w:rPr>
          <w:rFonts w:cs="Arial"/>
          <w:b/>
          <w:bCs/>
          <w:kern w:val="32"/>
          <w:sz w:val="26"/>
          <w:szCs w:val="32"/>
        </w:rPr>
      </w:pPr>
      <w:r w:rsidRPr="009F6E52">
        <w:rPr>
          <w:rFonts w:cs="Arial"/>
          <w:b/>
          <w:bCs/>
          <w:kern w:val="32"/>
          <w:sz w:val="26"/>
          <w:szCs w:val="32"/>
        </w:rPr>
        <w:t>Halbjahreszahlen der Kreditbanken: Mehr Kredite für Verbraucher –Unternehmen finanzieren verhaltener</w:t>
      </w:r>
    </w:p>
    <w:p w:rsidR="009F6E52" w:rsidRDefault="009F6E52" w:rsidP="009F6E52">
      <w:pPr>
        <w:spacing w:after="360"/>
      </w:pPr>
      <w:r w:rsidRPr="00DF27FE">
        <w:t xml:space="preserve">Berlin, </w:t>
      </w:r>
      <w:r>
        <w:t>21</w:t>
      </w:r>
      <w:r w:rsidRPr="00DF27FE">
        <w:t>. August 201</w:t>
      </w:r>
      <w:r>
        <w:t>9</w:t>
      </w:r>
      <w:r w:rsidRPr="00DF27FE">
        <w:t xml:space="preserve">. </w:t>
      </w:r>
      <w:r>
        <w:t>Die auf Finanzierungen spezialisierten Kreditbanken h</w:t>
      </w:r>
      <w:r>
        <w:t>a</w:t>
      </w:r>
      <w:r>
        <w:t>ben ihr Geschäft im ersten Halbjahr 2019 weiter ausgebaut. Sie vergaben neue Kredite im Wert von 80,8 Milliarden Euro an Unternehmen und Verbraucher. Das waren 1,9 Prozent mehr als im Vorjahreszeitraum. Gewachsen ist vor allem die Konsumfinanzierung.</w:t>
      </w:r>
    </w:p>
    <w:p w:rsidR="009F6E52" w:rsidRPr="0028329D" w:rsidRDefault="009F6E52" w:rsidP="009F6E52">
      <w:pPr>
        <w:spacing w:after="360"/>
        <w:rPr>
          <w:b/>
        </w:rPr>
      </w:pPr>
      <w:r>
        <w:rPr>
          <w:b/>
        </w:rPr>
        <w:t>Kredite zu Konsumzwecken wachsen</w:t>
      </w:r>
      <w:r>
        <w:rPr>
          <w:b/>
        </w:rPr>
        <w:br/>
      </w:r>
      <w:r w:rsidRPr="0059308C">
        <w:t xml:space="preserve">Ihr Kreditneugeschäft mit Verbrauchern </w:t>
      </w:r>
      <w:r>
        <w:t>haben die Kreditbanken um 4,2 Prozent auf 32,6 Milliarden Euro gesteigert. Wachstumsimpulse kamen dabei weniger aus dem Bereich der privaten Kfz-Finanzierungen, die um 0,5 Prozent zurückgingen, sondern eher von Krediten zur freien Verwendung.</w:t>
      </w:r>
      <w:r>
        <w:rPr>
          <w:b/>
        </w:rPr>
        <w:t xml:space="preserve"> </w:t>
      </w:r>
      <w:r w:rsidRPr="0059308C">
        <w:t>„Der private Konsum stützt die Konjunktur</w:t>
      </w:r>
      <w:r>
        <w:t>.</w:t>
      </w:r>
      <w:r w:rsidRPr="0059308C">
        <w:t xml:space="preserve"> Finanzierungen sind dabei ein wichtiges Tool, um Verbrauchern A</w:t>
      </w:r>
      <w:r w:rsidRPr="0059308C">
        <w:t>n</w:t>
      </w:r>
      <w:r w:rsidRPr="0059308C">
        <w:t>schaffungen zu ermöglichen“</w:t>
      </w:r>
      <w:r>
        <w:t>, sagt Jens Loa, Geschäftsführer des Bankenfachve</w:t>
      </w:r>
      <w:r>
        <w:t>r</w:t>
      </w:r>
      <w:r>
        <w:t>bandes.</w:t>
      </w:r>
    </w:p>
    <w:p w:rsidR="009F6E52" w:rsidRPr="0028329D" w:rsidRDefault="009F6E52" w:rsidP="009F6E52">
      <w:pPr>
        <w:spacing w:after="360"/>
      </w:pPr>
      <w:r w:rsidRPr="00247213">
        <w:rPr>
          <w:b/>
        </w:rPr>
        <w:t>Konjunktur</w:t>
      </w:r>
      <w:r>
        <w:rPr>
          <w:b/>
        </w:rPr>
        <w:t>abkühlung</w:t>
      </w:r>
      <w:r w:rsidRPr="00247213">
        <w:rPr>
          <w:b/>
        </w:rPr>
        <w:t xml:space="preserve"> bedingt </w:t>
      </w:r>
      <w:r>
        <w:rPr>
          <w:b/>
        </w:rPr>
        <w:t xml:space="preserve">rückläufige Investitions- und </w:t>
      </w:r>
      <w:r w:rsidRPr="00247213">
        <w:rPr>
          <w:b/>
        </w:rPr>
        <w:t>Finanzierungsberei</w:t>
      </w:r>
      <w:r w:rsidRPr="00247213">
        <w:rPr>
          <w:b/>
        </w:rPr>
        <w:t>t</w:t>
      </w:r>
      <w:r w:rsidRPr="00247213">
        <w:rPr>
          <w:b/>
        </w:rPr>
        <w:t>schaft</w:t>
      </w:r>
      <w:r>
        <w:rPr>
          <w:b/>
        </w:rPr>
        <w:br/>
      </w:r>
      <w:r w:rsidRPr="0028329D">
        <w:t>Die In</w:t>
      </w:r>
      <w:r>
        <w:t>vestitionsfinanzierungen der Kreditbanken gingen um 4,1 Prozent auf 7,6 Milliarden Euro zurück. Darunter sanken die gewerblichen Kfz-Finanzierungen alle</w:t>
      </w:r>
      <w:r>
        <w:t>r</w:t>
      </w:r>
      <w:r>
        <w:t xml:space="preserve">dings nur um 1,6 Prozent. </w:t>
      </w:r>
      <w:r w:rsidRPr="0059308C">
        <w:t>„</w:t>
      </w:r>
      <w:r>
        <w:t>Die aktuelle Wirtschaftslage kühlt die Investitions- und Finanzierungstätigkeit der Unternehmen ab</w:t>
      </w:r>
      <w:r w:rsidRPr="0059308C">
        <w:t>“</w:t>
      </w:r>
      <w:r>
        <w:t>, erläutert Loa.</w:t>
      </w:r>
    </w:p>
    <w:p w:rsidR="009F6E52" w:rsidRPr="001959F0" w:rsidRDefault="009F6E52" w:rsidP="009F6E52">
      <w:pPr>
        <w:spacing w:after="360"/>
        <w:rPr>
          <w:b/>
        </w:rPr>
      </w:pPr>
      <w:r w:rsidRPr="001959F0">
        <w:rPr>
          <w:b/>
        </w:rPr>
        <w:t>Einkaufsfinanzierung</w:t>
      </w:r>
      <w:r>
        <w:rPr>
          <w:b/>
        </w:rPr>
        <w:t xml:space="preserve"> legt weiter zu</w:t>
      </w:r>
      <w:r>
        <w:rPr>
          <w:b/>
        </w:rPr>
        <w:br/>
      </w:r>
      <w:r w:rsidRPr="00F62DFF">
        <w:t>Mit</w:t>
      </w:r>
      <w:r>
        <w:t xml:space="preserve"> einem Wert von 39,7 Milliarden Euro entfällt nahezu die Hälfte des Neug</w:t>
      </w:r>
      <w:r>
        <w:t>e</w:t>
      </w:r>
      <w:r>
        <w:t>schäfts der Kreditbanken auf Händler-Einkaufsfinanzierungen, zum Beispiel für Vo</w:t>
      </w:r>
      <w:r>
        <w:t>r</w:t>
      </w:r>
      <w:r>
        <w:t>führwagen. Diesen Bereich konnten die Kreditbanken um 1,5 Prozent ausbauen.</w:t>
      </w:r>
    </w:p>
    <w:p w:rsidR="009F6E52" w:rsidRDefault="009F6E52" w:rsidP="009F6E52">
      <w:pPr>
        <w:rPr>
          <w:b/>
          <w:bCs/>
        </w:rPr>
      </w:pPr>
      <w:r>
        <w:rPr>
          <w:b/>
          <w:sz w:val="18"/>
          <w:szCs w:val="18"/>
        </w:rPr>
        <w:t>Der Bankenfachverband</w:t>
      </w:r>
      <w:r>
        <w:rPr>
          <w:sz w:val="18"/>
          <w:szCs w:val="18"/>
        </w:rPr>
        <w:t xml:space="preserve"> (BFACH) vertritt die Interessen der Kreditbanken in Deutschland. Seine Mi</w:t>
      </w:r>
      <w:r>
        <w:rPr>
          <w:sz w:val="18"/>
          <w:szCs w:val="18"/>
        </w:rPr>
        <w:t>t</w:t>
      </w:r>
      <w:r>
        <w:rPr>
          <w:sz w:val="18"/>
          <w:szCs w:val="18"/>
        </w:rPr>
        <w:t>glieder sind die Experten für die Finanzierung von Konsum- und Investitionsgütern wie Kraftfahrze</w:t>
      </w:r>
      <w:r>
        <w:rPr>
          <w:sz w:val="18"/>
          <w:szCs w:val="18"/>
        </w:rPr>
        <w:t>u</w:t>
      </w:r>
      <w:r>
        <w:rPr>
          <w:sz w:val="18"/>
          <w:szCs w:val="18"/>
        </w:rPr>
        <w:t>gen. Die Kreditbanken haben mehr als 190 Milliarden Euro an Verbraucher und Unternehmen ausg</w:t>
      </w:r>
      <w:r>
        <w:rPr>
          <w:sz w:val="18"/>
          <w:szCs w:val="18"/>
        </w:rPr>
        <w:t>e</w:t>
      </w:r>
      <w:r>
        <w:rPr>
          <w:sz w:val="18"/>
          <w:szCs w:val="18"/>
        </w:rPr>
        <w:t>liehen und fördern damit Wirtschaft und Konjunktur.</w:t>
      </w:r>
      <w:r w:rsidR="0044768A">
        <w:rPr>
          <w:sz w:val="18"/>
          <w:szCs w:val="18"/>
        </w:rPr>
        <w:t xml:space="preserve"> Mehr als zwei Drittel</w:t>
      </w:r>
      <w:r>
        <w:rPr>
          <w:sz w:val="18"/>
          <w:szCs w:val="18"/>
        </w:rPr>
        <w:t xml:space="preserve"> aller Ratenkredite stammen von den Kr</w:t>
      </w:r>
      <w:r>
        <w:rPr>
          <w:sz w:val="18"/>
          <w:szCs w:val="18"/>
        </w:rPr>
        <w:t>e</w:t>
      </w:r>
      <w:r>
        <w:rPr>
          <w:sz w:val="18"/>
          <w:szCs w:val="18"/>
        </w:rPr>
        <w:t>ditbanken.</w:t>
      </w:r>
      <w:r w:rsidR="005F4BED">
        <w:rPr>
          <w:sz w:val="18"/>
          <w:szCs w:val="18"/>
        </w:rPr>
        <w:br/>
      </w:r>
      <w:r>
        <w:rPr>
          <w:sz w:val="18"/>
          <w:szCs w:val="18"/>
        </w:rPr>
        <w:br/>
      </w:r>
      <w:r>
        <w:rPr>
          <w:b/>
          <w:sz w:val="18"/>
          <w:szCs w:val="18"/>
        </w:rPr>
        <w:t>Anlage</w:t>
      </w:r>
      <w:r w:rsidRPr="00D652F9">
        <w:rPr>
          <w:b/>
          <w:sz w:val="18"/>
          <w:szCs w:val="18"/>
        </w:rPr>
        <w:t xml:space="preserve">: </w:t>
      </w:r>
      <w:r w:rsidRPr="008C3F26">
        <w:rPr>
          <w:sz w:val="18"/>
          <w:szCs w:val="18"/>
        </w:rPr>
        <w:t>Halbjahreszahlen 201</w:t>
      </w:r>
      <w:r>
        <w:rPr>
          <w:sz w:val="18"/>
          <w:szCs w:val="18"/>
        </w:rPr>
        <w:t xml:space="preserve">9 – Kreditbanken </w:t>
      </w:r>
      <w:r w:rsidRPr="00D652F9">
        <w:rPr>
          <w:b/>
          <w:sz w:val="18"/>
          <w:szCs w:val="18"/>
        </w:rPr>
        <w:t>Textfassung</w:t>
      </w:r>
      <w:r w:rsidRPr="00D652F9">
        <w:rPr>
          <w:sz w:val="18"/>
          <w:szCs w:val="18"/>
        </w:rPr>
        <w:t xml:space="preserve">: www.bfach.de / Presse / </w:t>
      </w:r>
      <w:r w:rsidR="00334014">
        <w:rPr>
          <w:sz w:val="18"/>
          <w:szCs w:val="18"/>
        </w:rPr>
        <w:t>21</w:t>
      </w:r>
      <w:r w:rsidRPr="00D652F9">
        <w:rPr>
          <w:sz w:val="18"/>
          <w:szCs w:val="18"/>
        </w:rPr>
        <w:t>.</w:t>
      </w:r>
      <w:r>
        <w:rPr>
          <w:sz w:val="18"/>
          <w:szCs w:val="18"/>
        </w:rPr>
        <w:t>08</w:t>
      </w:r>
      <w:r w:rsidRPr="00D652F9">
        <w:rPr>
          <w:sz w:val="18"/>
          <w:szCs w:val="18"/>
        </w:rPr>
        <w:t>.</w:t>
      </w:r>
      <w:r>
        <w:rPr>
          <w:sz w:val="18"/>
          <w:szCs w:val="18"/>
        </w:rPr>
        <w:t>19</w:t>
      </w:r>
      <w:r w:rsidRPr="00D652F9">
        <w:rPr>
          <w:sz w:val="18"/>
          <w:szCs w:val="18"/>
        </w:rPr>
        <w:br/>
      </w:r>
      <w:r w:rsidRPr="00D652F9">
        <w:rPr>
          <w:b/>
          <w:sz w:val="18"/>
          <w:szCs w:val="18"/>
        </w:rPr>
        <w:t xml:space="preserve">Kontakt: </w:t>
      </w:r>
      <w:r>
        <w:rPr>
          <w:sz w:val="18"/>
          <w:szCs w:val="18"/>
        </w:rPr>
        <w:t>BFACH, Stephan Moll, Leiter Markt/</w:t>
      </w:r>
      <w:r w:rsidRPr="00D652F9">
        <w:rPr>
          <w:sz w:val="18"/>
          <w:szCs w:val="18"/>
        </w:rPr>
        <w:t>PR, Tel. 030</w:t>
      </w:r>
      <w:bookmarkStart w:id="0" w:name="_GoBack"/>
      <w:bookmarkEnd w:id="0"/>
      <w:r w:rsidRPr="00D652F9">
        <w:rPr>
          <w:sz w:val="18"/>
          <w:szCs w:val="18"/>
        </w:rPr>
        <w:t xml:space="preserve"> 2462596-14, </w:t>
      </w:r>
      <w:r w:rsidRPr="001F3236">
        <w:rPr>
          <w:sz w:val="18"/>
          <w:szCs w:val="18"/>
        </w:rPr>
        <w:t>stephan.moll@bfach.de</w:t>
      </w:r>
      <w:r w:rsidRPr="00EA0B8F">
        <w:rPr>
          <w:b/>
          <w:bCs/>
        </w:rPr>
        <w:br w:type="page"/>
      </w:r>
      <w:r w:rsidRPr="00221775">
        <w:rPr>
          <w:b/>
          <w:bCs/>
        </w:rPr>
        <w:lastRenderedPageBreak/>
        <w:t>Halbjahreszahlen 201</w:t>
      </w:r>
      <w:r>
        <w:rPr>
          <w:b/>
          <w:bCs/>
        </w:rPr>
        <w:t>9</w:t>
      </w:r>
    </w:p>
    <w:p w:rsidR="009F6E52" w:rsidRDefault="009F6E52" w:rsidP="009F6E52">
      <w:pPr>
        <w:rPr>
          <w:bCs/>
        </w:rPr>
      </w:pPr>
      <w:r w:rsidRPr="00857513">
        <w:rPr>
          <w:bCs/>
        </w:rPr>
        <w:t>Geschäftsentwicklung der Kreditbanken</w:t>
      </w:r>
    </w:p>
    <w:p w:rsidR="009F6E52" w:rsidRDefault="009F6E52" w:rsidP="009F6E52">
      <w:pPr>
        <w:rPr>
          <w:bCs/>
        </w:rPr>
      </w:pPr>
    </w:p>
    <w:p w:rsidR="009F6E52" w:rsidRPr="00061A4C" w:rsidRDefault="009F6E52" w:rsidP="009F6E52">
      <w:pPr>
        <w:rPr>
          <w:bCs/>
        </w:rPr>
      </w:pPr>
    </w:p>
    <w:tbl>
      <w:tblPr>
        <w:tblW w:w="8899" w:type="dxa"/>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firstRow="0" w:lastRow="0" w:firstColumn="0" w:lastColumn="0" w:noHBand="0" w:noVBand="0"/>
      </w:tblPr>
      <w:tblGrid>
        <w:gridCol w:w="4181"/>
        <w:gridCol w:w="1394"/>
        <w:gridCol w:w="591"/>
        <w:gridCol w:w="1409"/>
        <w:gridCol w:w="1324"/>
      </w:tblGrid>
      <w:tr w:rsidR="009F6E52" w:rsidRPr="00430C4D" w:rsidTr="002E101D">
        <w:trPr>
          <w:trHeight w:hRule="exact" w:val="340"/>
        </w:trPr>
        <w:tc>
          <w:tcPr>
            <w:tcW w:w="4181" w:type="dxa"/>
            <w:tcBorders>
              <w:bottom w:val="single" w:sz="6" w:space="0" w:color="999999"/>
              <w:right w:val="single" w:sz="4" w:space="0" w:color="999999"/>
            </w:tcBorders>
          </w:tcPr>
          <w:p w:rsidR="009F6E52" w:rsidRPr="00430C4D" w:rsidRDefault="009F6E52" w:rsidP="002E101D">
            <w:pPr>
              <w:spacing w:after="264"/>
            </w:pPr>
          </w:p>
        </w:tc>
        <w:tc>
          <w:tcPr>
            <w:tcW w:w="1394" w:type="dxa"/>
            <w:tcBorders>
              <w:top w:val="single" w:sz="4" w:space="0" w:color="999999"/>
              <w:left w:val="single" w:sz="4" w:space="0" w:color="999999"/>
              <w:bottom w:val="single" w:sz="6" w:space="0" w:color="999999"/>
              <w:right w:val="single" w:sz="4" w:space="0" w:color="999999"/>
            </w:tcBorders>
            <w:shd w:val="clear" w:color="auto" w:fill="D9D9D9" w:themeFill="background1" w:themeFillShade="D9"/>
          </w:tcPr>
          <w:p w:rsidR="009F6E52" w:rsidRPr="00B1042B" w:rsidRDefault="009F6E52" w:rsidP="002E101D">
            <w:pPr>
              <w:spacing w:after="264"/>
              <w:ind w:left="29" w:hanging="290"/>
              <w:jc w:val="right"/>
              <w:rPr>
                <w:b/>
              </w:rPr>
            </w:pPr>
            <w:r>
              <w:rPr>
                <w:b/>
              </w:rPr>
              <w:t>HJ</w:t>
            </w:r>
            <w:r w:rsidRPr="00B1042B">
              <w:rPr>
                <w:b/>
              </w:rPr>
              <w:t>201</w:t>
            </w:r>
            <w:r>
              <w:rPr>
                <w:b/>
              </w:rPr>
              <w:t>9</w:t>
            </w:r>
            <w:r w:rsidRPr="00B1042B">
              <w:rPr>
                <w:b/>
              </w:rPr>
              <w:t xml:space="preserve"> </w:t>
            </w:r>
          </w:p>
        </w:tc>
        <w:tc>
          <w:tcPr>
            <w:tcW w:w="591" w:type="dxa"/>
            <w:tcBorders>
              <w:left w:val="single" w:sz="4" w:space="0" w:color="999999"/>
              <w:bottom w:val="single" w:sz="6" w:space="0" w:color="999999"/>
              <w:right w:val="single" w:sz="4" w:space="0" w:color="999999"/>
            </w:tcBorders>
          </w:tcPr>
          <w:p w:rsidR="009F6E52" w:rsidRPr="00430C4D" w:rsidRDefault="009F6E52" w:rsidP="002E101D">
            <w:pPr>
              <w:spacing w:after="264"/>
              <w:ind w:left="29" w:hanging="290"/>
              <w:jc w:val="right"/>
            </w:pPr>
          </w:p>
        </w:tc>
        <w:tc>
          <w:tcPr>
            <w:tcW w:w="1409" w:type="dxa"/>
            <w:tcBorders>
              <w:top w:val="single" w:sz="4" w:space="0" w:color="999999"/>
              <w:left w:val="single" w:sz="4" w:space="0" w:color="999999"/>
              <w:bottom w:val="single" w:sz="6" w:space="0" w:color="999999"/>
              <w:right w:val="single" w:sz="4" w:space="0" w:color="999999"/>
            </w:tcBorders>
            <w:shd w:val="clear" w:color="auto" w:fill="D9D9D9" w:themeFill="background1" w:themeFillShade="D9"/>
          </w:tcPr>
          <w:p w:rsidR="009F6E52" w:rsidRPr="00B1042B" w:rsidRDefault="009F6E52" w:rsidP="002E101D">
            <w:pPr>
              <w:spacing w:after="264"/>
              <w:jc w:val="right"/>
              <w:rPr>
                <w:b/>
              </w:rPr>
            </w:pPr>
            <w:r w:rsidRPr="00B1042B">
              <w:rPr>
                <w:b/>
              </w:rPr>
              <w:t xml:space="preserve">+/- (%) </w:t>
            </w:r>
          </w:p>
        </w:tc>
        <w:tc>
          <w:tcPr>
            <w:tcW w:w="1324" w:type="dxa"/>
            <w:tcBorders>
              <w:top w:val="single" w:sz="4" w:space="0" w:color="999999"/>
              <w:left w:val="single" w:sz="4" w:space="0" w:color="999999"/>
              <w:bottom w:val="single" w:sz="6" w:space="0" w:color="999999"/>
              <w:right w:val="single" w:sz="4" w:space="0" w:color="999999"/>
            </w:tcBorders>
          </w:tcPr>
          <w:p w:rsidR="009F6E52" w:rsidRPr="00430C4D" w:rsidRDefault="009F6E52" w:rsidP="002E101D">
            <w:pPr>
              <w:spacing w:after="264"/>
              <w:ind w:left="189" w:hanging="189"/>
            </w:pPr>
            <w:r w:rsidRPr="00430C4D">
              <w:t xml:space="preserve">zu </w:t>
            </w:r>
            <w:r>
              <w:t>HJ2018</w:t>
            </w:r>
          </w:p>
        </w:tc>
      </w:tr>
      <w:tr w:rsidR="009F6E52" w:rsidRPr="00430C4D" w:rsidTr="002E101D">
        <w:trPr>
          <w:trHeight w:hRule="exact" w:val="340"/>
        </w:trPr>
        <w:tc>
          <w:tcPr>
            <w:tcW w:w="4181" w:type="dxa"/>
            <w:tcBorders>
              <w:top w:val="single" w:sz="6" w:space="0" w:color="999999"/>
              <w:left w:val="single" w:sz="6" w:space="0" w:color="999999"/>
              <w:bottom w:val="single" w:sz="4" w:space="0" w:color="FFFFFF" w:themeColor="background1"/>
              <w:right w:val="single" w:sz="4" w:space="0" w:color="999999"/>
            </w:tcBorders>
            <w:shd w:val="clear" w:color="auto" w:fill="F2F2F2" w:themeFill="background1" w:themeFillShade="F2"/>
          </w:tcPr>
          <w:p w:rsidR="009F6E52" w:rsidRPr="009D6FB2" w:rsidRDefault="009F6E52" w:rsidP="002E101D">
            <w:pPr>
              <w:spacing w:after="264"/>
              <w:rPr>
                <w:b/>
              </w:rPr>
            </w:pPr>
            <w:r w:rsidRPr="009D6FB2">
              <w:rPr>
                <w:b/>
              </w:rPr>
              <w:t xml:space="preserve">Kennzahlen gesamt </w:t>
            </w:r>
            <w:r w:rsidRPr="00253C41">
              <w:rPr>
                <w:sz w:val="20"/>
                <w:szCs w:val="20"/>
              </w:rPr>
              <w:t>(Mrd. Euro)</w:t>
            </w:r>
          </w:p>
        </w:tc>
        <w:tc>
          <w:tcPr>
            <w:tcW w:w="1394" w:type="dxa"/>
            <w:tcBorders>
              <w:top w:val="single" w:sz="6"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6"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ind w:left="29" w:hanging="290"/>
              <w:jc w:val="right"/>
            </w:pPr>
          </w:p>
        </w:tc>
        <w:tc>
          <w:tcPr>
            <w:tcW w:w="1409" w:type="dxa"/>
            <w:tcBorders>
              <w:top w:val="single" w:sz="6"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6" w:space="0" w:color="999999"/>
              <w:left w:val="single" w:sz="4" w:space="0" w:color="999999"/>
              <w:bottom w:val="single" w:sz="4" w:space="0" w:color="FFFFFF" w:themeColor="background1"/>
              <w:right w:val="single" w:sz="6" w:space="0" w:color="999999"/>
            </w:tcBorders>
            <w:shd w:val="clear" w:color="auto" w:fill="F2F2F2" w:themeFill="background1" w:themeFillShade="F2"/>
          </w:tcPr>
          <w:p w:rsidR="009F6E52" w:rsidRPr="00430C4D" w:rsidRDefault="009F6E52" w:rsidP="002E101D">
            <w:pPr>
              <w:spacing w:after="264"/>
              <w:ind w:left="189" w:hanging="189"/>
            </w:pPr>
          </w:p>
        </w:tc>
      </w:tr>
      <w:tr w:rsidR="009F6E52" w:rsidRPr="00430C4D" w:rsidTr="002E101D">
        <w:trPr>
          <w:trHeight w:hRule="exact" w:val="340"/>
        </w:trPr>
        <w:tc>
          <w:tcPr>
            <w:tcW w:w="4181" w:type="dxa"/>
            <w:tcBorders>
              <w:top w:val="single" w:sz="4" w:space="0" w:color="FFFFFF" w:themeColor="background1"/>
              <w:left w:val="single" w:sz="6"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rsidRPr="00430C4D">
              <w:t xml:space="preserve">Kreditneugeschäft </w:t>
            </w:r>
            <w:r w:rsidRPr="00D72725">
              <w:rPr>
                <w:sz w:val="20"/>
                <w:szCs w:val="20"/>
              </w:rPr>
              <w:t>(</w:t>
            </w:r>
            <w:r>
              <w:rPr>
                <w:sz w:val="20"/>
                <w:szCs w:val="20"/>
              </w:rPr>
              <w:t>01.01.-30.06</w:t>
            </w:r>
            <w:r w:rsidRPr="00D72725">
              <w:rPr>
                <w:sz w:val="20"/>
                <w:szCs w:val="20"/>
              </w:rPr>
              <w:t>.1</w:t>
            </w:r>
            <w:r>
              <w:rPr>
                <w:sz w:val="20"/>
                <w:szCs w:val="20"/>
              </w:rPr>
              <w:t>9</w:t>
            </w:r>
            <w:r w:rsidRPr="00D72725">
              <w:rPr>
                <w:sz w:val="20"/>
                <w:szCs w:val="20"/>
              </w:rPr>
              <w:t>)</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80,8</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+1,9</w:t>
            </w:r>
          </w:p>
        </w:tc>
        <w:tc>
          <w:tcPr>
            <w:tcW w:w="1324" w:type="dxa"/>
            <w:tcBorders>
              <w:top w:val="single" w:sz="4" w:space="0" w:color="FFFFFF" w:themeColor="background1"/>
              <w:left w:val="single" w:sz="4" w:space="0" w:color="999999"/>
              <w:bottom w:val="single" w:sz="4" w:space="0" w:color="FFFFFF" w:themeColor="background1"/>
              <w:right w:val="single" w:sz="6"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left w:val="single" w:sz="6"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t xml:space="preserve">Kreditbestand </w:t>
            </w:r>
            <w:r w:rsidRPr="00D72725">
              <w:rPr>
                <w:sz w:val="20"/>
                <w:szCs w:val="20"/>
              </w:rPr>
              <w:t>(3</w:t>
            </w:r>
            <w:r>
              <w:rPr>
                <w:sz w:val="20"/>
                <w:szCs w:val="20"/>
              </w:rPr>
              <w:t>0.06</w:t>
            </w:r>
            <w:r w:rsidRPr="00D72725">
              <w:rPr>
                <w:sz w:val="20"/>
                <w:szCs w:val="20"/>
              </w:rPr>
              <w:t>.1</w:t>
            </w:r>
            <w:r>
              <w:rPr>
                <w:sz w:val="20"/>
                <w:szCs w:val="20"/>
              </w:rPr>
              <w:t>9</w:t>
            </w:r>
            <w:r w:rsidRPr="00D72725">
              <w:rPr>
                <w:sz w:val="20"/>
                <w:szCs w:val="20"/>
              </w:rPr>
              <w:t>)</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195,6</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+8,4</w:t>
            </w:r>
          </w:p>
        </w:tc>
        <w:tc>
          <w:tcPr>
            <w:tcW w:w="1324" w:type="dxa"/>
            <w:tcBorders>
              <w:top w:val="single" w:sz="4" w:space="0" w:color="FFFFFF" w:themeColor="background1"/>
              <w:left w:val="single" w:sz="4" w:space="0" w:color="999999"/>
              <w:bottom w:val="single" w:sz="4" w:space="0" w:color="FFFFFF" w:themeColor="background1"/>
              <w:right w:val="single" w:sz="6"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170"/>
        </w:trPr>
        <w:tc>
          <w:tcPr>
            <w:tcW w:w="4181" w:type="dxa"/>
            <w:tcBorders>
              <w:top w:val="single" w:sz="6" w:space="0" w:color="999999"/>
              <w:bottom w:val="single" w:sz="4" w:space="0" w:color="999999"/>
              <w:right w:val="single" w:sz="4" w:space="0" w:color="999999"/>
            </w:tcBorders>
          </w:tcPr>
          <w:p w:rsidR="009F6E52" w:rsidRDefault="009F6E52" w:rsidP="002E101D">
            <w:pPr>
              <w:spacing w:after="264"/>
            </w:pPr>
          </w:p>
        </w:tc>
        <w:tc>
          <w:tcPr>
            <w:tcW w:w="1394" w:type="dxa"/>
            <w:tcBorders>
              <w:top w:val="single" w:sz="6"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591" w:type="dxa"/>
            <w:tcBorders>
              <w:top w:val="single" w:sz="6" w:space="0" w:color="999999"/>
              <w:left w:val="single" w:sz="4" w:space="0" w:color="999999"/>
              <w:bottom w:val="single" w:sz="4" w:space="0" w:color="999999"/>
              <w:right w:val="single" w:sz="4" w:space="0" w:color="999999"/>
            </w:tcBorders>
          </w:tcPr>
          <w:p w:rsidR="009F6E52" w:rsidRPr="00B10BE7" w:rsidRDefault="009F6E52" w:rsidP="002E101D">
            <w:pPr>
              <w:spacing w:after="264"/>
              <w:jc w:val="right"/>
            </w:pPr>
          </w:p>
        </w:tc>
        <w:tc>
          <w:tcPr>
            <w:tcW w:w="1409" w:type="dxa"/>
            <w:tcBorders>
              <w:top w:val="single" w:sz="6"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6" w:space="0" w:color="999999"/>
              <w:left w:val="single" w:sz="4" w:space="0" w:color="999999"/>
              <w:bottom w:val="single" w:sz="4" w:space="0" w:color="999999"/>
              <w:right w:val="single" w:sz="4" w:space="0" w:color="999999"/>
            </w:tcBorders>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999999"/>
              <w:bottom w:val="single" w:sz="4" w:space="0" w:color="FFFFFF" w:themeColor="background1"/>
              <w:right w:val="single" w:sz="4" w:space="0" w:color="999999"/>
            </w:tcBorders>
            <w:shd w:val="clear" w:color="auto" w:fill="F2F2F2" w:themeFill="background1" w:themeFillShade="F2"/>
          </w:tcPr>
          <w:p w:rsidR="009F6E52" w:rsidRPr="00D57A89" w:rsidRDefault="009F6E52" w:rsidP="002E101D">
            <w:pPr>
              <w:spacing w:after="264"/>
              <w:rPr>
                <w:b/>
                <w:sz w:val="20"/>
                <w:szCs w:val="20"/>
              </w:rPr>
            </w:pPr>
            <w:r w:rsidRPr="00B1042B">
              <w:rPr>
                <w:b/>
              </w:rPr>
              <w:t>Konsumfinanzierung</w:t>
            </w:r>
            <w:r w:rsidRPr="00D57A89">
              <w:rPr>
                <w:b/>
                <w:sz w:val="20"/>
                <w:szCs w:val="20"/>
              </w:rPr>
              <w:t xml:space="preserve"> </w:t>
            </w:r>
            <w:r w:rsidRPr="000E38B6">
              <w:rPr>
                <w:sz w:val="20"/>
                <w:szCs w:val="20"/>
              </w:rPr>
              <w:t>(</w:t>
            </w:r>
            <w:r w:rsidRPr="00D57A89">
              <w:rPr>
                <w:sz w:val="20"/>
                <w:szCs w:val="20"/>
              </w:rPr>
              <w:t>Mrd. Euro)</w:t>
            </w:r>
          </w:p>
        </w:tc>
        <w:tc>
          <w:tcPr>
            <w:tcW w:w="1394"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ind w:left="29" w:hanging="290"/>
              <w:jc w:val="right"/>
            </w:pPr>
          </w:p>
        </w:tc>
        <w:tc>
          <w:tcPr>
            <w:tcW w:w="1409"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t>Kreditneugeschäft mit Verbrauchern</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32,6</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+4,2</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t xml:space="preserve">   </w:t>
            </w:r>
            <w:r w:rsidRPr="00430C4D">
              <w:t>Anteil Kfz-Finanzierungen</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13,2</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-0,5</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pPr>
            <w:r>
              <w:t xml:space="preserve">Kreditbestand </w:t>
            </w:r>
          </w:p>
        </w:tc>
        <w:tc>
          <w:tcPr>
            <w:tcW w:w="1394"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146,3</w:t>
            </w:r>
          </w:p>
        </w:tc>
        <w:tc>
          <w:tcPr>
            <w:tcW w:w="591"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+9,5</w:t>
            </w:r>
          </w:p>
        </w:tc>
        <w:tc>
          <w:tcPr>
            <w:tcW w:w="1324"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170"/>
        </w:trPr>
        <w:tc>
          <w:tcPr>
            <w:tcW w:w="4181" w:type="dxa"/>
            <w:tcBorders>
              <w:top w:val="single" w:sz="4" w:space="0" w:color="999999"/>
              <w:bottom w:val="single" w:sz="4" w:space="0" w:color="999999"/>
              <w:right w:val="single" w:sz="4" w:space="0" w:color="999999"/>
            </w:tcBorders>
          </w:tcPr>
          <w:p w:rsidR="009F6E52" w:rsidRDefault="009F6E52" w:rsidP="002E101D">
            <w:pPr>
              <w:spacing w:after="264"/>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591" w:type="dxa"/>
            <w:tcBorders>
              <w:top w:val="single" w:sz="4" w:space="0" w:color="999999"/>
              <w:left w:val="single" w:sz="4" w:space="0" w:color="999999"/>
              <w:bottom w:val="single" w:sz="4" w:space="0" w:color="999999"/>
              <w:right w:val="single" w:sz="4" w:space="0" w:color="999999"/>
            </w:tcBorders>
          </w:tcPr>
          <w:p w:rsidR="009F6E52" w:rsidRPr="00B10BE7" w:rsidRDefault="009F6E52" w:rsidP="002E101D">
            <w:pPr>
              <w:spacing w:after="264"/>
              <w:jc w:val="right"/>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999999"/>
              <w:right w:val="single" w:sz="4" w:space="0" w:color="999999"/>
            </w:tcBorders>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rsidRPr="00B1042B">
              <w:rPr>
                <w:b/>
              </w:rPr>
              <w:t>Investitionsfinanzierung</w:t>
            </w:r>
            <w:r w:rsidRPr="00D57A89">
              <w:rPr>
                <w:b/>
                <w:sz w:val="20"/>
                <w:szCs w:val="20"/>
              </w:rPr>
              <w:t xml:space="preserve"> </w:t>
            </w:r>
            <w:r w:rsidRPr="00D57A89">
              <w:rPr>
                <w:sz w:val="20"/>
                <w:szCs w:val="20"/>
              </w:rPr>
              <w:t>(Mrd. Euro)</w:t>
            </w:r>
          </w:p>
        </w:tc>
        <w:tc>
          <w:tcPr>
            <w:tcW w:w="1394"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ind w:left="29" w:hanging="290"/>
              <w:jc w:val="right"/>
            </w:pPr>
          </w:p>
        </w:tc>
        <w:tc>
          <w:tcPr>
            <w:tcW w:w="1409"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rsidRPr="00430C4D">
              <w:t xml:space="preserve">Kreditneugeschäft </w:t>
            </w:r>
            <w:r>
              <w:t>mit Unternehmen</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7,6</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-4,1</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t xml:space="preserve">  </w:t>
            </w:r>
            <w:r w:rsidRPr="00430C4D">
              <w:t xml:space="preserve"> Anteil Kfz-Finanzierungen</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4,0</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-1,6</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pPr>
            <w:r>
              <w:t xml:space="preserve">Kreditbestand </w:t>
            </w:r>
          </w:p>
        </w:tc>
        <w:tc>
          <w:tcPr>
            <w:tcW w:w="1394"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26,0</w:t>
            </w:r>
          </w:p>
        </w:tc>
        <w:tc>
          <w:tcPr>
            <w:tcW w:w="591"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+6,3</w:t>
            </w:r>
          </w:p>
        </w:tc>
        <w:tc>
          <w:tcPr>
            <w:tcW w:w="1324"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170"/>
        </w:trPr>
        <w:tc>
          <w:tcPr>
            <w:tcW w:w="4181" w:type="dxa"/>
            <w:tcBorders>
              <w:top w:val="single" w:sz="4" w:space="0" w:color="999999"/>
              <w:bottom w:val="single" w:sz="4" w:space="0" w:color="FFFFFF" w:themeColor="background1"/>
              <w:right w:val="single" w:sz="4" w:space="0" w:color="999999"/>
            </w:tcBorders>
            <w:shd w:val="clear" w:color="auto" w:fill="FFFFFF" w:themeFill="background1"/>
          </w:tcPr>
          <w:p w:rsidR="009F6E52" w:rsidRPr="00B1042B" w:rsidRDefault="009F6E52" w:rsidP="002E101D">
            <w:pPr>
              <w:spacing w:after="264"/>
              <w:rPr>
                <w:b/>
              </w:rPr>
            </w:pPr>
          </w:p>
        </w:tc>
        <w:tc>
          <w:tcPr>
            <w:tcW w:w="1394"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4" w:space="0" w:color="999999"/>
              <w:left w:val="single" w:sz="4" w:space="0" w:color="999999"/>
              <w:bottom w:val="single" w:sz="4" w:space="0" w:color="FFFFFF" w:themeColor="background1"/>
              <w:right w:val="single" w:sz="4" w:space="0" w:color="999999"/>
            </w:tcBorders>
            <w:shd w:val="clear" w:color="auto" w:fill="FFFFFF" w:themeFill="background1"/>
          </w:tcPr>
          <w:p w:rsidR="009F6E52" w:rsidRPr="00B10BE7" w:rsidRDefault="009F6E52" w:rsidP="002E101D">
            <w:pPr>
              <w:spacing w:after="264"/>
              <w:ind w:left="29" w:hanging="290"/>
              <w:jc w:val="right"/>
            </w:pPr>
          </w:p>
        </w:tc>
        <w:tc>
          <w:tcPr>
            <w:tcW w:w="1409"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FFFFFF" w:themeColor="background1"/>
              <w:right w:val="single" w:sz="4" w:space="0" w:color="999999"/>
            </w:tcBorders>
            <w:shd w:val="clear" w:color="auto" w:fill="FFFFFF" w:themeFill="background1"/>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999999"/>
              <w:bottom w:val="single" w:sz="4" w:space="0" w:color="FFFFFF" w:themeColor="background1"/>
              <w:right w:val="single" w:sz="4" w:space="0" w:color="999999"/>
            </w:tcBorders>
            <w:shd w:val="clear" w:color="auto" w:fill="F2F2F2" w:themeFill="background1" w:themeFillShade="F2"/>
          </w:tcPr>
          <w:p w:rsidR="009F6E52" w:rsidRPr="001E69BD" w:rsidRDefault="009F6E52" w:rsidP="002E101D">
            <w:pPr>
              <w:spacing w:after="264"/>
              <w:rPr>
                <w:b/>
              </w:rPr>
            </w:pPr>
            <w:r w:rsidRPr="00B1042B">
              <w:rPr>
                <w:b/>
              </w:rPr>
              <w:t>Einkaufsfinanzierung</w:t>
            </w:r>
            <w:r w:rsidRPr="00D57A89">
              <w:rPr>
                <w:b/>
                <w:sz w:val="20"/>
                <w:szCs w:val="20"/>
              </w:rPr>
              <w:t xml:space="preserve"> </w:t>
            </w:r>
            <w:r w:rsidRPr="00D57A89">
              <w:rPr>
                <w:sz w:val="20"/>
                <w:szCs w:val="20"/>
              </w:rPr>
              <w:t>(Mrd. Euro)</w:t>
            </w:r>
          </w:p>
        </w:tc>
        <w:tc>
          <w:tcPr>
            <w:tcW w:w="1394"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ind w:left="29" w:hanging="290"/>
              <w:jc w:val="right"/>
            </w:pPr>
          </w:p>
        </w:tc>
        <w:tc>
          <w:tcPr>
            <w:tcW w:w="1409"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rsidRPr="00430C4D">
              <w:t xml:space="preserve">Kreditneugeschäft </w:t>
            </w:r>
            <w:r>
              <w:t>mit Händlern</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39,7</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+1,5</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pPr>
            <w:r>
              <w:t xml:space="preserve">Kreditbestand </w:t>
            </w:r>
          </w:p>
        </w:tc>
        <w:tc>
          <w:tcPr>
            <w:tcW w:w="1394"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19,4</w:t>
            </w:r>
          </w:p>
        </w:tc>
        <w:tc>
          <w:tcPr>
            <w:tcW w:w="591"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+4,7</w:t>
            </w:r>
          </w:p>
        </w:tc>
        <w:tc>
          <w:tcPr>
            <w:tcW w:w="1324"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170"/>
        </w:trPr>
        <w:tc>
          <w:tcPr>
            <w:tcW w:w="4181" w:type="dxa"/>
            <w:tcBorders>
              <w:top w:val="single" w:sz="4" w:space="0" w:color="999999"/>
              <w:bottom w:val="single" w:sz="4" w:space="0" w:color="999999"/>
              <w:right w:val="single" w:sz="4" w:space="0" w:color="999999"/>
            </w:tcBorders>
          </w:tcPr>
          <w:p w:rsidR="009F6E52" w:rsidRDefault="009F6E52" w:rsidP="002E101D">
            <w:pPr>
              <w:spacing w:after="264"/>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591" w:type="dxa"/>
            <w:tcBorders>
              <w:top w:val="single" w:sz="4" w:space="0" w:color="999999"/>
              <w:left w:val="single" w:sz="4" w:space="0" w:color="999999"/>
              <w:bottom w:val="single" w:sz="4" w:space="0" w:color="999999"/>
              <w:right w:val="single" w:sz="4" w:space="0" w:color="999999"/>
            </w:tcBorders>
          </w:tcPr>
          <w:p w:rsidR="009F6E52" w:rsidRPr="00B10BE7" w:rsidRDefault="009F6E52" w:rsidP="002E101D">
            <w:pPr>
              <w:spacing w:after="264"/>
              <w:jc w:val="right"/>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999999"/>
              <w:right w:val="single" w:sz="4" w:space="0" w:color="999999"/>
            </w:tcBorders>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999999"/>
              <w:bottom w:val="single" w:sz="4" w:space="0" w:color="FFFFFF" w:themeColor="background1"/>
              <w:right w:val="single" w:sz="4" w:space="0" w:color="999999"/>
            </w:tcBorders>
            <w:shd w:val="clear" w:color="auto" w:fill="F2F2F2" w:themeFill="background1" w:themeFillShade="F2"/>
          </w:tcPr>
          <w:p w:rsidR="009F6E52" w:rsidRPr="001E69BD" w:rsidRDefault="009F6E52" w:rsidP="002E101D">
            <w:pPr>
              <w:spacing w:after="264"/>
              <w:rPr>
                <w:b/>
              </w:rPr>
            </w:pPr>
            <w:r w:rsidRPr="00B1042B">
              <w:rPr>
                <w:b/>
              </w:rPr>
              <w:t>Forderungsankauf</w:t>
            </w:r>
            <w:r w:rsidRPr="00D57A89">
              <w:rPr>
                <w:b/>
                <w:sz w:val="20"/>
                <w:szCs w:val="20"/>
              </w:rPr>
              <w:t xml:space="preserve"> </w:t>
            </w:r>
            <w:r w:rsidRPr="00D57A89">
              <w:rPr>
                <w:sz w:val="20"/>
                <w:szCs w:val="20"/>
              </w:rPr>
              <w:t>(Mrd. Euro)</w:t>
            </w:r>
          </w:p>
        </w:tc>
        <w:tc>
          <w:tcPr>
            <w:tcW w:w="1394"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ind w:left="29" w:hanging="290"/>
              <w:jc w:val="right"/>
            </w:pPr>
          </w:p>
        </w:tc>
        <w:tc>
          <w:tcPr>
            <w:tcW w:w="591"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ind w:left="29" w:hanging="290"/>
              <w:jc w:val="right"/>
            </w:pPr>
          </w:p>
        </w:tc>
        <w:tc>
          <w:tcPr>
            <w:tcW w:w="1409" w:type="dxa"/>
            <w:tcBorders>
              <w:top w:val="single" w:sz="4" w:space="0" w:color="999999"/>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pPr>
            <w:r w:rsidRPr="00430C4D">
              <w:t xml:space="preserve">Kreditneugeschäft </w:t>
            </w:r>
          </w:p>
        </w:tc>
        <w:tc>
          <w:tcPr>
            <w:tcW w:w="139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0,9</w:t>
            </w:r>
          </w:p>
        </w:tc>
        <w:tc>
          <w:tcPr>
            <w:tcW w:w="591"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D9D9D9" w:themeFill="background1" w:themeFillShade="D9"/>
          </w:tcPr>
          <w:p w:rsidR="009F6E52" w:rsidRPr="00B10BE7" w:rsidRDefault="009F6E52" w:rsidP="002E101D">
            <w:pPr>
              <w:spacing w:after="264"/>
              <w:jc w:val="right"/>
            </w:pPr>
            <w:r>
              <w:t>-4,1</w:t>
            </w:r>
          </w:p>
        </w:tc>
        <w:tc>
          <w:tcPr>
            <w:tcW w:w="1324" w:type="dxa"/>
            <w:tcBorders>
              <w:top w:val="single" w:sz="4" w:space="0" w:color="FFFFFF" w:themeColor="background1"/>
              <w:left w:val="single" w:sz="4" w:space="0" w:color="999999"/>
              <w:bottom w:val="single" w:sz="4" w:space="0" w:color="FFFFFF" w:themeColor="background1"/>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340"/>
        </w:trPr>
        <w:tc>
          <w:tcPr>
            <w:tcW w:w="4181" w:type="dxa"/>
            <w:tcBorders>
              <w:top w:val="single" w:sz="4" w:space="0" w:color="FFFFFF" w:themeColor="background1"/>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pPr>
            <w:r>
              <w:t>Kreditbestand</w:t>
            </w:r>
          </w:p>
        </w:tc>
        <w:tc>
          <w:tcPr>
            <w:tcW w:w="1394"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3,9</w:t>
            </w:r>
          </w:p>
        </w:tc>
        <w:tc>
          <w:tcPr>
            <w:tcW w:w="591"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B10BE7" w:rsidRDefault="009F6E52" w:rsidP="002E101D">
            <w:pPr>
              <w:spacing w:after="264"/>
              <w:jc w:val="right"/>
            </w:pPr>
          </w:p>
        </w:tc>
        <w:tc>
          <w:tcPr>
            <w:tcW w:w="1409" w:type="dxa"/>
            <w:tcBorders>
              <w:top w:val="single" w:sz="4" w:space="0" w:color="FFFFFF" w:themeColor="background1"/>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r>
              <w:t>+0,2</w:t>
            </w:r>
          </w:p>
        </w:tc>
        <w:tc>
          <w:tcPr>
            <w:tcW w:w="1324" w:type="dxa"/>
            <w:tcBorders>
              <w:top w:val="single" w:sz="4" w:space="0" w:color="FFFFFF" w:themeColor="background1"/>
              <w:left w:val="single" w:sz="4" w:space="0" w:color="999999"/>
              <w:bottom w:val="single" w:sz="4" w:space="0" w:color="999999"/>
              <w:right w:val="single" w:sz="4" w:space="0" w:color="999999"/>
            </w:tcBorders>
            <w:shd w:val="clear" w:color="auto" w:fill="F2F2F2" w:themeFill="background1" w:themeFillShade="F2"/>
          </w:tcPr>
          <w:p w:rsidR="009F6E52" w:rsidRPr="00430C4D" w:rsidRDefault="009F6E52" w:rsidP="002E101D">
            <w:pPr>
              <w:spacing w:after="264"/>
              <w:ind w:left="189" w:hanging="189"/>
              <w:jc w:val="right"/>
            </w:pPr>
          </w:p>
        </w:tc>
      </w:tr>
      <w:tr w:rsidR="009F6E52" w:rsidRPr="00430C4D" w:rsidTr="002E101D">
        <w:trPr>
          <w:trHeight w:hRule="exact" w:val="170"/>
        </w:trPr>
        <w:tc>
          <w:tcPr>
            <w:tcW w:w="4181" w:type="dxa"/>
            <w:tcBorders>
              <w:top w:val="single" w:sz="4" w:space="0" w:color="999999"/>
              <w:right w:val="single" w:sz="4" w:space="0" w:color="999999"/>
            </w:tcBorders>
          </w:tcPr>
          <w:p w:rsidR="009F6E52" w:rsidRDefault="009F6E52" w:rsidP="002E101D">
            <w:pPr>
              <w:spacing w:after="264"/>
            </w:pPr>
          </w:p>
        </w:tc>
        <w:tc>
          <w:tcPr>
            <w:tcW w:w="1394"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591" w:type="dxa"/>
            <w:tcBorders>
              <w:top w:val="single" w:sz="4" w:space="0" w:color="999999"/>
              <w:left w:val="single" w:sz="4" w:space="0" w:color="999999"/>
              <w:right w:val="single" w:sz="4" w:space="0" w:color="999999"/>
            </w:tcBorders>
          </w:tcPr>
          <w:p w:rsidR="009F6E52" w:rsidRPr="00B10BE7" w:rsidRDefault="009F6E52" w:rsidP="002E101D">
            <w:pPr>
              <w:spacing w:after="264"/>
              <w:jc w:val="right"/>
            </w:pPr>
          </w:p>
        </w:tc>
        <w:tc>
          <w:tcPr>
            <w:tcW w:w="1409"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rsidR="009F6E52" w:rsidRPr="00B10BE7" w:rsidRDefault="009F6E52" w:rsidP="002E101D">
            <w:pPr>
              <w:spacing w:after="264"/>
              <w:jc w:val="right"/>
            </w:pPr>
          </w:p>
        </w:tc>
        <w:tc>
          <w:tcPr>
            <w:tcW w:w="1324" w:type="dxa"/>
            <w:tcBorders>
              <w:top w:val="single" w:sz="4" w:space="0" w:color="999999"/>
              <w:left w:val="single" w:sz="4" w:space="0" w:color="999999"/>
              <w:bottom w:val="single" w:sz="4" w:space="0" w:color="999999"/>
              <w:right w:val="single" w:sz="4" w:space="0" w:color="999999"/>
            </w:tcBorders>
          </w:tcPr>
          <w:p w:rsidR="009F6E52" w:rsidRPr="00430C4D" w:rsidRDefault="009F6E52" w:rsidP="002E101D">
            <w:pPr>
              <w:spacing w:after="264"/>
              <w:ind w:left="189" w:hanging="189"/>
              <w:jc w:val="right"/>
            </w:pPr>
          </w:p>
        </w:tc>
      </w:tr>
    </w:tbl>
    <w:p w:rsidR="009F6E52" w:rsidRDefault="009F6E52" w:rsidP="009F6E52">
      <w:pPr>
        <w:ind w:right="-335"/>
      </w:pPr>
    </w:p>
    <w:p w:rsidR="009F6E52" w:rsidRPr="00A036BD" w:rsidRDefault="009F6E52" w:rsidP="009F6E52">
      <w:pPr>
        <w:ind w:right="-335"/>
      </w:pPr>
      <w:r>
        <w:t>Anlage zur Presseinformation vom 21.08.19</w:t>
      </w:r>
    </w:p>
    <w:p w:rsidR="00832CAD" w:rsidRPr="009F6E52" w:rsidRDefault="00832CAD" w:rsidP="009F6E52"/>
    <w:sectPr w:rsidR="00832CAD" w:rsidRPr="009F6E52" w:rsidSect="00832CAD">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4768A">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44768A">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9F6E52">
      <w:rPr>
        <w:sz w:val="18"/>
        <w:szCs w:val="18"/>
      </w:rPr>
      <w:t>21</w:t>
    </w:r>
    <w:r>
      <w:rPr>
        <w:sz w:val="18"/>
        <w:szCs w:val="18"/>
      </w:rPr>
      <w:t>.</w:t>
    </w:r>
    <w:r w:rsidR="00CC093A">
      <w:rPr>
        <w:sz w:val="18"/>
        <w:szCs w:val="18"/>
      </w:rPr>
      <w:t>08</w:t>
    </w:r>
    <w:r>
      <w:rPr>
        <w:sz w:val="18"/>
        <w:szCs w:val="18"/>
      </w:rPr>
      <w:t>.</w:t>
    </w:r>
    <w:r w:rsidR="00CC093A">
      <w:rPr>
        <w:sz w:val="18"/>
        <w:szCs w:val="18"/>
      </w:rPr>
      <w:t>1</w:t>
    </w:r>
    <w:r w:rsidR="009F6E52">
      <w:rPr>
        <w:sz w:val="18"/>
        <w:szCs w:val="18"/>
      </w:rPr>
      <w:t>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1D3121"/>
    <w:rsid w:val="00263CFC"/>
    <w:rsid w:val="00334014"/>
    <w:rsid w:val="00384313"/>
    <w:rsid w:val="0044733C"/>
    <w:rsid w:val="0044768A"/>
    <w:rsid w:val="005F4BED"/>
    <w:rsid w:val="00716D55"/>
    <w:rsid w:val="007864FD"/>
    <w:rsid w:val="00832CAD"/>
    <w:rsid w:val="00852A78"/>
    <w:rsid w:val="008B4D6C"/>
    <w:rsid w:val="00980FA5"/>
    <w:rsid w:val="009E432C"/>
    <w:rsid w:val="009F6E52"/>
    <w:rsid w:val="00AF28A9"/>
    <w:rsid w:val="00C511CF"/>
    <w:rsid w:val="00C8715C"/>
    <w:rsid w:val="00CC093A"/>
    <w:rsid w:val="00D25380"/>
    <w:rsid w:val="00D45863"/>
    <w:rsid w:val="00D53145"/>
    <w:rsid w:val="00D765EA"/>
    <w:rsid w:val="00D77E86"/>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263CFC"/>
    <w:rPr>
      <w:rFonts w:ascii="Tahoma" w:hAnsi="Tahoma" w:cs="Tahoma"/>
      <w:sz w:val="16"/>
      <w:szCs w:val="16"/>
    </w:rPr>
  </w:style>
  <w:style w:type="character" w:customStyle="1" w:styleId="SprechblasentextZchn">
    <w:name w:val="Sprechblasentext Zchn"/>
    <w:basedOn w:val="Absatz-Standardschriftart"/>
    <w:link w:val="Sprechblasentext"/>
    <w:rsid w:val="0026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263CFC"/>
    <w:rPr>
      <w:rFonts w:ascii="Tahoma" w:hAnsi="Tahoma" w:cs="Tahoma"/>
      <w:sz w:val="16"/>
      <w:szCs w:val="16"/>
    </w:rPr>
  </w:style>
  <w:style w:type="character" w:customStyle="1" w:styleId="SprechblasentextZchn">
    <w:name w:val="Sprechblasentext Zchn"/>
    <w:basedOn w:val="Absatz-Standardschriftart"/>
    <w:link w:val="Sprechblasentext"/>
    <w:rsid w:val="0026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2641</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6</cp:revision>
  <cp:lastPrinted>2019-08-20T08:24:00Z</cp:lastPrinted>
  <dcterms:created xsi:type="dcterms:W3CDTF">2019-08-19T12:28:00Z</dcterms:created>
  <dcterms:modified xsi:type="dcterms:W3CDTF">2019-08-20T08:24:00Z</dcterms:modified>
</cp:coreProperties>
</file>