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5561A6" w:rsidRDefault="00B91907" w:rsidP="00CF23A3">
      <w:pPr>
        <w:pStyle w:val="berschrift1"/>
        <w:keepNext w:val="0"/>
        <w:suppressAutoHyphens/>
      </w:pPr>
      <w:r w:rsidRPr="005561A6">
        <w:t xml:space="preserve">Finanzierungsbestand </w:t>
      </w:r>
      <w:r w:rsidR="005561A6" w:rsidRPr="005561A6">
        <w:t xml:space="preserve">der Kreditbanken </w:t>
      </w:r>
      <w:r w:rsidRPr="005561A6">
        <w:t xml:space="preserve">im zweiten Coronajahr </w:t>
      </w:r>
      <w:r w:rsidR="00AF548E" w:rsidRPr="005561A6">
        <w:t xml:space="preserve">2021 </w:t>
      </w:r>
      <w:r w:rsidR="005561A6" w:rsidRPr="005561A6">
        <w:t xml:space="preserve">mit leichtem Plus </w:t>
      </w:r>
      <w:r w:rsidRPr="005561A6">
        <w:t xml:space="preserve">| </w:t>
      </w:r>
      <w:r w:rsidR="00AF548E" w:rsidRPr="005561A6">
        <w:t xml:space="preserve">Zweistelliges </w:t>
      </w:r>
      <w:r w:rsidRPr="005561A6">
        <w:t xml:space="preserve">Wachstum bei Internetkrediten </w:t>
      </w:r>
      <w:r w:rsidR="00A54F69">
        <w:t xml:space="preserve">| </w:t>
      </w:r>
      <w:r w:rsidR="00476C13">
        <w:t>Privates Kfz-</w:t>
      </w:r>
      <w:r w:rsidR="00A54F69">
        <w:t xml:space="preserve">Leasing </w:t>
      </w:r>
      <w:r w:rsidR="00476C13">
        <w:t>entwickelt sich dynamisch</w:t>
      </w:r>
    </w:p>
    <w:p w:rsidR="00826523" w:rsidRDefault="00DE3BFC" w:rsidP="00CF23A3">
      <w:pPr>
        <w:pStyle w:val="Grundtext"/>
        <w:suppressAutoHyphens/>
        <w:spacing w:after="360"/>
      </w:pPr>
      <w:r w:rsidRPr="005561A6">
        <w:t>Berlin</w:t>
      </w:r>
      <w:r w:rsidR="00F71441" w:rsidRPr="005561A6">
        <w:t xml:space="preserve">, </w:t>
      </w:r>
      <w:r w:rsidR="00824476">
        <w:t>17</w:t>
      </w:r>
      <w:r w:rsidR="00F71441" w:rsidRPr="005561A6">
        <w:t xml:space="preserve">. </w:t>
      </w:r>
      <w:r w:rsidRPr="005561A6">
        <w:t>Mai 2022</w:t>
      </w:r>
      <w:r w:rsidR="00F71441" w:rsidRPr="005561A6">
        <w:t xml:space="preserve">. </w:t>
      </w:r>
      <w:r w:rsidR="005561A6" w:rsidRPr="005561A6">
        <w:t>Die auf Finanzierung</w:t>
      </w:r>
      <w:r w:rsidR="0071208C">
        <w:t>en</w:t>
      </w:r>
      <w:r w:rsidR="005561A6" w:rsidRPr="005561A6">
        <w:t xml:space="preserve"> von Konsum- und Investitionsgütern fokussierten Kreditbanken </w:t>
      </w:r>
      <w:r w:rsidR="005561A6">
        <w:t>haben ihren</w:t>
      </w:r>
      <w:r w:rsidR="006E3FCC">
        <w:t xml:space="preserve"> konsolidierten</w:t>
      </w:r>
      <w:r w:rsidR="005561A6">
        <w:t xml:space="preserve"> Kreditbestand im Jahr 2021 um 0,3 Prozent </w:t>
      </w:r>
      <w:r w:rsidR="00400E5F">
        <w:t xml:space="preserve">auf 167,8 Milliarden Euro </w:t>
      </w:r>
      <w:r w:rsidR="005561A6">
        <w:t>gesteigert</w:t>
      </w:r>
      <w:r w:rsidR="00400E5F">
        <w:t xml:space="preserve">. </w:t>
      </w:r>
      <w:r w:rsidR="008C2396">
        <w:t xml:space="preserve">„Die Kreditbanken tragen mit ihren Finanzierungen </w:t>
      </w:r>
      <w:r w:rsidR="006F0EBC">
        <w:t>kontinuierlich</w:t>
      </w:r>
      <w:r w:rsidR="008C2396">
        <w:t xml:space="preserve"> zur gesamtwirtschaftlichen Wiedererholung bei“</w:t>
      </w:r>
      <w:r w:rsidR="005237DA">
        <w:t xml:space="preserve">, sagt Frederik Linthout, Vorstandsvorsitzender des Bankenfachverbandes. </w:t>
      </w:r>
      <w:r w:rsidR="00400E5F">
        <w:t xml:space="preserve">Das Kreditneugeschäft </w:t>
      </w:r>
      <w:r w:rsidR="002F425C">
        <w:t>war</w:t>
      </w:r>
      <w:r w:rsidR="00400E5F">
        <w:t xml:space="preserve"> in 2021 weiter </w:t>
      </w:r>
      <w:r w:rsidR="002F425C">
        <w:t>von den Auswirkungen</w:t>
      </w:r>
      <w:r w:rsidR="00400E5F">
        <w:t xml:space="preserve"> der Coronapandemie</w:t>
      </w:r>
      <w:r w:rsidR="00695D33">
        <w:t xml:space="preserve"> auf Unternehmen und Privathaushalte</w:t>
      </w:r>
      <w:r w:rsidR="002F425C">
        <w:t xml:space="preserve"> geprägt</w:t>
      </w:r>
      <w:r w:rsidR="00400E5F">
        <w:t xml:space="preserve">. Hinzu kamen </w:t>
      </w:r>
      <w:r w:rsidR="002F425C">
        <w:t xml:space="preserve">Unterbrechungen von </w:t>
      </w:r>
      <w:r w:rsidR="00400E5F">
        <w:t xml:space="preserve">Lieferketten, die sich </w:t>
      </w:r>
      <w:r w:rsidR="00095D97">
        <w:t>vor allem</w:t>
      </w:r>
      <w:r w:rsidR="00400E5F">
        <w:t xml:space="preserve"> auf den Kfz-Absatz ausgewirkt haben.</w:t>
      </w:r>
      <w:r w:rsidR="00400E5F" w:rsidRPr="00400E5F">
        <w:t xml:space="preserve"> </w:t>
      </w:r>
    </w:p>
    <w:p w:rsidR="00400E5F" w:rsidRDefault="00400E5F" w:rsidP="00CF23A3">
      <w:pPr>
        <w:pStyle w:val="Grundtext"/>
        <w:suppressAutoHyphens/>
        <w:spacing w:after="360"/>
      </w:pPr>
      <w:r>
        <w:t>Insgesamt haben die Kreditbanken in 2021 neue Kredit</w:t>
      </w:r>
      <w:r w:rsidR="00131D41">
        <w:t>e</w:t>
      </w:r>
      <w:r>
        <w:t xml:space="preserve"> im Wert von 109,8 Milliarden Euro an Privatpersonen und Unternehmen vergeben. </w:t>
      </w:r>
      <w:r w:rsidR="00826523">
        <w:t>Das waren 2,9 Prozent weniger als im Vorjahr. Ein Vergleich ist allerdings nur eingeschränkt möglich</w:t>
      </w:r>
      <w:r w:rsidR="004A2770">
        <w:t xml:space="preserve">. </w:t>
      </w:r>
      <w:r w:rsidR="008C2396">
        <w:t xml:space="preserve">Während das Finanzierungsgeschäft im ersten Quartal 2020 noch nicht unter dem Einfluss der Pandemie stand, </w:t>
      </w:r>
      <w:r w:rsidR="006E3AA7">
        <w:t>galt dies</w:t>
      </w:r>
      <w:r w:rsidR="008C2396">
        <w:t xml:space="preserve"> in 2021 </w:t>
      </w:r>
      <w:r w:rsidR="006E3AA7">
        <w:t>für das gesamte Jahr</w:t>
      </w:r>
      <w:r w:rsidR="004A2770">
        <w:t xml:space="preserve">. Dabei entwickelte sich das Kreditneugeschäft in den einzelnen Geschäftsfeldern </w:t>
      </w:r>
      <w:r w:rsidR="006E3FCC">
        <w:t xml:space="preserve">der Kreditbanken </w:t>
      </w:r>
      <w:r w:rsidR="004A2770">
        <w:t>unterschiedlich.</w:t>
      </w:r>
    </w:p>
    <w:p w:rsidR="00AF548E" w:rsidRPr="00095D97" w:rsidRDefault="0071208C" w:rsidP="00CF23A3">
      <w:pPr>
        <w:pStyle w:val="Grundtext"/>
        <w:suppressAutoHyphens/>
        <w:spacing w:after="360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 xml:space="preserve">Privater </w:t>
      </w:r>
      <w:r w:rsidR="00432F7D" w:rsidRPr="005561A6">
        <w:rPr>
          <w:rFonts w:cs="Arial"/>
          <w:b/>
          <w:bCs/>
          <w:iCs/>
          <w:szCs w:val="28"/>
        </w:rPr>
        <w:t>Konsum</w:t>
      </w:r>
      <w:r w:rsidR="00095D97">
        <w:rPr>
          <w:rFonts w:cs="Arial"/>
          <w:b/>
          <w:bCs/>
          <w:iCs/>
          <w:szCs w:val="28"/>
        </w:rPr>
        <w:t xml:space="preserve"> und </w:t>
      </w:r>
      <w:r>
        <w:rPr>
          <w:rFonts w:cs="Arial"/>
          <w:b/>
          <w:bCs/>
          <w:iCs/>
          <w:szCs w:val="28"/>
        </w:rPr>
        <w:t>Konsumf</w:t>
      </w:r>
      <w:r w:rsidR="00432F7D" w:rsidRPr="005561A6">
        <w:rPr>
          <w:rFonts w:cs="Arial"/>
          <w:b/>
          <w:bCs/>
          <w:iCs/>
          <w:szCs w:val="28"/>
        </w:rPr>
        <w:t xml:space="preserve">inanzierung </w:t>
      </w:r>
      <w:r>
        <w:rPr>
          <w:rFonts w:cs="Arial"/>
          <w:b/>
          <w:bCs/>
          <w:iCs/>
          <w:szCs w:val="28"/>
        </w:rPr>
        <w:t>konstant</w:t>
      </w:r>
      <w:r w:rsidR="00432F7D" w:rsidRPr="005561A6">
        <w:rPr>
          <w:rFonts w:cs="Arial"/>
          <w:b/>
          <w:bCs/>
          <w:iCs/>
          <w:szCs w:val="28"/>
        </w:rPr>
        <w:t xml:space="preserve"> </w:t>
      </w:r>
      <w:r w:rsidR="00095D97">
        <w:rPr>
          <w:rFonts w:cs="Arial"/>
          <w:b/>
          <w:bCs/>
          <w:iCs/>
          <w:szCs w:val="28"/>
        </w:rPr>
        <w:br/>
      </w:r>
      <w:r w:rsidR="00095D97" w:rsidRPr="00095D97">
        <w:rPr>
          <w:rFonts w:cs="Arial"/>
          <w:bCs/>
          <w:iCs/>
          <w:szCs w:val="28"/>
        </w:rPr>
        <w:t>Der private Konsum</w:t>
      </w:r>
      <w:r w:rsidR="00095D97">
        <w:rPr>
          <w:rFonts w:cs="Arial"/>
          <w:bCs/>
          <w:iCs/>
          <w:szCs w:val="28"/>
        </w:rPr>
        <w:t xml:space="preserve"> ist im Jahr 2021 bundesweit mit einem geringen Plus von 0,1 Prozent nahezu stabil geblieben. </w:t>
      </w:r>
      <w:r w:rsidR="00146A6B">
        <w:rPr>
          <w:rFonts w:cs="Arial"/>
          <w:bCs/>
          <w:iCs/>
          <w:szCs w:val="28"/>
        </w:rPr>
        <w:t xml:space="preserve">Entsprechend </w:t>
      </w:r>
      <w:r w:rsidR="006E3AA7">
        <w:rPr>
          <w:rFonts w:cs="Arial"/>
          <w:bCs/>
          <w:iCs/>
          <w:szCs w:val="28"/>
        </w:rPr>
        <w:t>lagen</w:t>
      </w:r>
      <w:r w:rsidR="00146A6B">
        <w:rPr>
          <w:rFonts w:cs="Arial"/>
          <w:bCs/>
          <w:iCs/>
          <w:szCs w:val="28"/>
        </w:rPr>
        <w:t xml:space="preserve"> auch die Konsumfinanzierungen der Kreditbanken </w:t>
      </w:r>
      <w:r w:rsidR="006E3AA7">
        <w:rPr>
          <w:rFonts w:cs="Arial"/>
          <w:bCs/>
          <w:iCs/>
          <w:szCs w:val="28"/>
        </w:rPr>
        <w:t xml:space="preserve">annähernd </w:t>
      </w:r>
      <w:r w:rsidR="00146A6B">
        <w:rPr>
          <w:rFonts w:cs="Arial"/>
          <w:bCs/>
          <w:iCs/>
          <w:szCs w:val="28"/>
        </w:rPr>
        <w:t xml:space="preserve">auf dem Niveau des Vorjahres. </w:t>
      </w:r>
      <w:r w:rsidR="002F425C">
        <w:rPr>
          <w:rFonts w:cs="Arial"/>
          <w:bCs/>
          <w:iCs/>
          <w:szCs w:val="28"/>
        </w:rPr>
        <w:t>Die Institute</w:t>
      </w:r>
      <w:r w:rsidR="00146A6B">
        <w:rPr>
          <w:rFonts w:cs="Arial"/>
          <w:bCs/>
          <w:iCs/>
          <w:szCs w:val="28"/>
        </w:rPr>
        <w:t xml:space="preserve"> vergaben 51,5 Milliarden Euro an Privatpersonen,</w:t>
      </w:r>
      <w:r>
        <w:rPr>
          <w:rFonts w:cs="Arial"/>
          <w:bCs/>
          <w:iCs/>
          <w:szCs w:val="28"/>
        </w:rPr>
        <w:t xml:space="preserve"> das ist ein </w:t>
      </w:r>
      <w:r w:rsidR="006E3FCC">
        <w:rPr>
          <w:rFonts w:cs="Arial"/>
          <w:bCs/>
          <w:iCs/>
          <w:szCs w:val="28"/>
        </w:rPr>
        <w:t xml:space="preserve">leichter </w:t>
      </w:r>
      <w:r>
        <w:rPr>
          <w:rFonts w:cs="Arial"/>
          <w:bCs/>
          <w:iCs/>
          <w:szCs w:val="28"/>
        </w:rPr>
        <w:t>Rückgang um 0,2 Prozent. D</w:t>
      </w:r>
      <w:r w:rsidR="00146A6B">
        <w:rPr>
          <w:rFonts w:cs="Arial"/>
          <w:bCs/>
          <w:iCs/>
          <w:szCs w:val="28"/>
        </w:rPr>
        <w:t xml:space="preserve">arunter </w:t>
      </w:r>
      <w:r>
        <w:rPr>
          <w:rFonts w:cs="Arial"/>
          <w:bCs/>
          <w:iCs/>
          <w:szCs w:val="28"/>
        </w:rPr>
        <w:t>wuchsen allerdings die Ratenkredite, mit denen Konsumgüter</w:t>
      </w:r>
      <w:r w:rsidR="006E3AA7">
        <w:rPr>
          <w:rFonts w:cs="Arial"/>
          <w:bCs/>
          <w:iCs/>
          <w:szCs w:val="28"/>
        </w:rPr>
        <w:t xml:space="preserve"> wie Kfz, Möbel oder Unterhaltungselektronik</w:t>
      </w:r>
      <w:r>
        <w:rPr>
          <w:rFonts w:cs="Arial"/>
          <w:bCs/>
          <w:iCs/>
          <w:szCs w:val="28"/>
        </w:rPr>
        <w:t xml:space="preserve"> in erster Linie finanziert werden, um 0,2 Prozent auf ein Volumen von </w:t>
      </w:r>
      <w:r w:rsidR="00146A6B">
        <w:rPr>
          <w:rFonts w:cs="Arial"/>
          <w:bCs/>
          <w:iCs/>
          <w:szCs w:val="28"/>
        </w:rPr>
        <w:t>49,4 Milliarden Euro</w:t>
      </w:r>
      <w:r>
        <w:rPr>
          <w:rFonts w:cs="Arial"/>
          <w:bCs/>
          <w:iCs/>
          <w:szCs w:val="28"/>
        </w:rPr>
        <w:t>.</w:t>
      </w:r>
    </w:p>
    <w:p w:rsidR="00432F7D" w:rsidRPr="005561A6" w:rsidRDefault="00432F7D" w:rsidP="00CF23A3">
      <w:pPr>
        <w:pStyle w:val="Grundtext"/>
        <w:suppressAutoHyphens/>
        <w:spacing w:after="360"/>
        <w:rPr>
          <w:b/>
        </w:rPr>
      </w:pPr>
      <w:r w:rsidRPr="005561A6">
        <w:rPr>
          <w:b/>
        </w:rPr>
        <w:t>Investitionsfinanzierung wächst bei Kfz und online</w:t>
      </w:r>
      <w:r w:rsidR="006E3AA7">
        <w:rPr>
          <w:b/>
        </w:rPr>
        <w:br/>
      </w:r>
      <w:r w:rsidR="00127A4D">
        <w:t xml:space="preserve">In 2021 </w:t>
      </w:r>
      <w:r w:rsidR="006E3FCC">
        <w:t>haben</w:t>
      </w:r>
      <w:r w:rsidR="00127A4D">
        <w:t xml:space="preserve"> die Kreditbanken Investitionsgüter wie Produktionsmaschinen oder Kraftfahrzeuge im Wert von 9,1 Milliarden Euro an Unternehmen finanziert. </w:t>
      </w:r>
      <w:r w:rsidR="00F84BD2">
        <w:t>D</w:t>
      </w:r>
      <w:r w:rsidR="006E3FCC">
        <w:t xml:space="preserve">ieser </w:t>
      </w:r>
      <w:r w:rsidR="006E3FCC">
        <w:lastRenderedPageBreak/>
        <w:t xml:space="preserve">Wert liegt </w:t>
      </w:r>
      <w:r w:rsidR="00F84BD2">
        <w:t xml:space="preserve">9,7 Prozent </w:t>
      </w:r>
      <w:r w:rsidR="006E3FCC">
        <w:t>unter dem</w:t>
      </w:r>
      <w:r w:rsidR="00F84BD2">
        <w:t xml:space="preserve"> Vorjahr. Gewachsen sind darunter allerdings sowohl gewerbliche Kfz-Finanzierungen, die um 1,5 Prozent auf 4,2 Milliarden Euro zulegten, als auch gewerbliche Internetkredite.</w:t>
      </w:r>
      <w:r w:rsidR="00673266">
        <w:t xml:space="preserve"> </w:t>
      </w:r>
    </w:p>
    <w:p w:rsidR="00AF548E" w:rsidRPr="006726FC" w:rsidRDefault="00432F7D" w:rsidP="00CF23A3">
      <w:pPr>
        <w:pStyle w:val="Grundtext"/>
        <w:suppressAutoHyphens/>
        <w:spacing w:after="360"/>
      </w:pPr>
      <w:r w:rsidRPr="005561A6">
        <w:rPr>
          <w:b/>
        </w:rPr>
        <w:t>Mehr Internetkredite für Privatpersonen und Unternehmen</w:t>
      </w:r>
      <w:r w:rsidR="00695D33">
        <w:rPr>
          <w:b/>
        </w:rPr>
        <w:br/>
      </w:r>
      <w:r w:rsidR="00095D97" w:rsidRPr="00095D97">
        <w:t xml:space="preserve">Signifikant gewachsen ist der Geschäftsbereich der Internetkredite. In 2021 vergaben die Kreditbanken </w:t>
      </w:r>
      <w:r w:rsidR="005122CE">
        <w:t>im</w:t>
      </w:r>
      <w:r w:rsidR="00095D97" w:rsidRPr="00095D97">
        <w:t xml:space="preserve"> </w:t>
      </w:r>
      <w:r w:rsidR="005122CE">
        <w:t>Netz</w:t>
      </w:r>
      <w:r w:rsidR="00095D97" w:rsidRPr="00095D97">
        <w:t xml:space="preserve"> 14,2 Milliarden Euro </w:t>
      </w:r>
      <w:r w:rsidR="006726FC">
        <w:t>für</w:t>
      </w:r>
      <w:r w:rsidR="00095D97" w:rsidRPr="00095D97">
        <w:t xml:space="preserve"> Privatkunden und 0,3 Milliarden Euro </w:t>
      </w:r>
      <w:r w:rsidR="006726FC">
        <w:t>für</w:t>
      </w:r>
      <w:r w:rsidR="00095D97" w:rsidRPr="00095D97">
        <w:t xml:space="preserve"> gewerbliche </w:t>
      </w:r>
      <w:r w:rsidR="003624E1" w:rsidRPr="00095D97">
        <w:t xml:space="preserve">Kunden. </w:t>
      </w:r>
      <w:r w:rsidR="007714D8">
        <w:t>„</w:t>
      </w:r>
      <w:r w:rsidR="00A84024">
        <w:t xml:space="preserve">Das Internet </w:t>
      </w:r>
      <w:r w:rsidR="006726FC">
        <w:t>entwickelt sich mehr und mehr zum Vertriebsweg für Finanzierungen“</w:t>
      </w:r>
      <w:r w:rsidR="00A84024">
        <w:t xml:space="preserve">, </w:t>
      </w:r>
      <w:r w:rsidR="005122CE">
        <w:t>sagt</w:t>
      </w:r>
      <w:r w:rsidR="00A84024">
        <w:t xml:space="preserve"> Linthout.</w:t>
      </w:r>
      <w:r w:rsidR="006726FC">
        <w:t xml:space="preserve"> So wuchsen </w:t>
      </w:r>
      <w:r w:rsidR="003624E1" w:rsidRPr="00095D97">
        <w:t xml:space="preserve">die Investitionskredite </w:t>
      </w:r>
      <w:r w:rsidR="006726FC">
        <w:t xml:space="preserve">der Kreditbanken </w:t>
      </w:r>
      <w:r w:rsidR="003624E1" w:rsidRPr="00095D97">
        <w:t>online um 8,4 Prozent und die Internet</w:t>
      </w:r>
      <w:r w:rsidR="005122CE">
        <w:t>r</w:t>
      </w:r>
      <w:r w:rsidR="003624E1" w:rsidRPr="00095D97">
        <w:t>atenkredite um 16,6 Prozent im Vergleich zum Vorjahr. Der Anteil der vollständig online abgeschlossenen Ratenkredite hat sich mehr als verdoppelt und macht bereits 40 Prozent aller Internet</w:t>
      </w:r>
      <w:r w:rsidR="005122CE">
        <w:t>r</w:t>
      </w:r>
      <w:r w:rsidR="003624E1" w:rsidRPr="00095D97">
        <w:t>atenkredite aus.</w:t>
      </w:r>
      <w:r w:rsidR="00A84024">
        <w:t xml:space="preserve"> Bei den restlichen 60 Prozent erfolgt </w:t>
      </w:r>
      <w:r w:rsidR="006726FC">
        <w:t xml:space="preserve">der Abschluss beispielsweise postalisch und </w:t>
      </w:r>
      <w:r w:rsidR="00AE341B">
        <w:t>der</w:t>
      </w:r>
      <w:r w:rsidR="00A84024">
        <w:t xml:space="preserve"> Kreditantrag online. </w:t>
      </w:r>
    </w:p>
    <w:p w:rsidR="00AF548E" w:rsidRPr="00322C6A" w:rsidRDefault="006A2107" w:rsidP="00CF23A3">
      <w:pPr>
        <w:pStyle w:val="Grundtext"/>
        <w:suppressAutoHyphens/>
        <w:spacing w:after="360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Neuwagen</w:t>
      </w:r>
      <w:r w:rsidR="00AF548E" w:rsidRPr="005561A6">
        <w:rPr>
          <w:rFonts w:cs="Arial"/>
          <w:b/>
          <w:bCs/>
          <w:iCs/>
          <w:szCs w:val="28"/>
        </w:rPr>
        <w:t>-Finanzierung über Marktentwicklung</w:t>
      </w:r>
      <w:r w:rsidR="00A84024">
        <w:rPr>
          <w:rFonts w:cs="Arial"/>
          <w:b/>
          <w:bCs/>
          <w:iCs/>
          <w:szCs w:val="28"/>
        </w:rPr>
        <w:br/>
      </w:r>
      <w:r w:rsidR="006726FC" w:rsidRPr="006726FC">
        <w:rPr>
          <w:rFonts w:cs="Arial"/>
          <w:bCs/>
          <w:iCs/>
          <w:szCs w:val="28"/>
        </w:rPr>
        <w:t>Ein weiteres</w:t>
      </w:r>
      <w:r w:rsidR="006726FC">
        <w:rPr>
          <w:rFonts w:cs="Arial"/>
          <w:bCs/>
          <w:iCs/>
          <w:szCs w:val="28"/>
        </w:rPr>
        <w:t xml:space="preserve"> Wachstumsfeld ist bereits seit mehreren Jahren das Kfz-Leasing für Privatpersonen. </w:t>
      </w:r>
      <w:r w:rsidR="00322C6A">
        <w:rPr>
          <w:rFonts w:cs="Arial"/>
          <w:bCs/>
          <w:iCs/>
          <w:szCs w:val="28"/>
        </w:rPr>
        <w:t>Hier haben die Kreditbanken ihr</w:t>
      </w:r>
      <w:r w:rsidR="00F001CB">
        <w:rPr>
          <w:rFonts w:cs="Arial"/>
          <w:bCs/>
          <w:iCs/>
          <w:szCs w:val="28"/>
        </w:rPr>
        <w:t xml:space="preserve"> wertmäßiges</w:t>
      </w:r>
      <w:r w:rsidR="00322C6A">
        <w:rPr>
          <w:rFonts w:cs="Arial"/>
          <w:bCs/>
          <w:iCs/>
          <w:szCs w:val="28"/>
        </w:rPr>
        <w:t xml:space="preserve"> Neugeschäft um </w:t>
      </w:r>
      <w:r w:rsidR="00C1139F">
        <w:rPr>
          <w:rFonts w:cs="Arial"/>
          <w:bCs/>
          <w:iCs/>
          <w:szCs w:val="28"/>
        </w:rPr>
        <w:t>5</w:t>
      </w:r>
      <w:r w:rsidR="00322C6A">
        <w:rPr>
          <w:rFonts w:cs="Arial"/>
          <w:bCs/>
          <w:iCs/>
          <w:szCs w:val="28"/>
        </w:rPr>
        <w:t xml:space="preserve">,6 Prozent auf 5,0 Milliarden Euro gesteigert. Insgesamt haben die Kreditbanken </w:t>
      </w:r>
      <w:r w:rsidR="00C1139F">
        <w:rPr>
          <w:rFonts w:cs="Arial"/>
          <w:bCs/>
          <w:iCs/>
          <w:szCs w:val="28"/>
        </w:rPr>
        <w:t xml:space="preserve">in 2021 </w:t>
      </w:r>
      <w:r w:rsidR="00322C6A">
        <w:rPr>
          <w:rFonts w:cs="Arial"/>
          <w:bCs/>
          <w:iCs/>
          <w:szCs w:val="28"/>
        </w:rPr>
        <w:t xml:space="preserve">1,6 Millionen Kraftfahrzeuge per Kredit oder Leasing finanziert. Das waren 5,9 Prozent weniger als im Vorjahr. Bundesweit wurden </w:t>
      </w:r>
      <w:r w:rsidR="00C1139F">
        <w:rPr>
          <w:rFonts w:cs="Arial"/>
          <w:bCs/>
          <w:iCs/>
          <w:szCs w:val="28"/>
        </w:rPr>
        <w:t>im selben Zeitraum</w:t>
      </w:r>
      <w:r w:rsidR="00322C6A">
        <w:rPr>
          <w:rFonts w:cs="Arial"/>
          <w:bCs/>
          <w:iCs/>
          <w:szCs w:val="28"/>
        </w:rPr>
        <w:t xml:space="preserve"> 7,8 Prozent weniger neue Kfz zugelassen und 3,4 Prozent weniger Besitzumschreibungen registriert</w:t>
      </w:r>
      <w:r w:rsidR="00057E8D">
        <w:rPr>
          <w:rFonts w:cs="Arial"/>
          <w:bCs/>
          <w:iCs/>
          <w:szCs w:val="28"/>
        </w:rPr>
        <w:t>, jeweils</w:t>
      </w:r>
      <w:r w:rsidR="00057E8D" w:rsidRPr="00057E8D">
        <w:rPr>
          <w:rFonts w:cs="Arial"/>
          <w:bCs/>
          <w:iCs/>
          <w:szCs w:val="28"/>
        </w:rPr>
        <w:t xml:space="preserve"> </w:t>
      </w:r>
      <w:r w:rsidR="00057E8D">
        <w:rPr>
          <w:rFonts w:cs="Arial"/>
          <w:bCs/>
          <w:iCs/>
          <w:szCs w:val="28"/>
        </w:rPr>
        <w:t>inklusive Kfz-Anhänger</w:t>
      </w:r>
      <w:r w:rsidR="00322C6A">
        <w:rPr>
          <w:rFonts w:cs="Arial"/>
          <w:bCs/>
          <w:iCs/>
          <w:szCs w:val="28"/>
        </w:rPr>
        <w:t>.</w:t>
      </w:r>
      <w:r w:rsidR="00322C6A">
        <w:rPr>
          <w:rFonts w:cs="Arial"/>
          <w:b/>
          <w:bCs/>
          <w:iCs/>
          <w:szCs w:val="28"/>
        </w:rPr>
        <w:t xml:space="preserve"> </w:t>
      </w:r>
      <w:r w:rsidR="00A84024">
        <w:t xml:space="preserve">„Die Auftragsbücher sind voll, es können aber nur die Fahrzeuge finanziert werden, die vorhanden sind“, </w:t>
      </w:r>
      <w:r w:rsidR="00F11954">
        <w:t>erläutert</w:t>
      </w:r>
      <w:r w:rsidR="00A84024">
        <w:t xml:space="preserve"> Linthout. </w:t>
      </w:r>
    </w:p>
    <w:p w:rsidR="00F71441" w:rsidRPr="005561A6" w:rsidRDefault="003A1675" w:rsidP="00D171C9">
      <w:pPr>
        <w:pStyle w:val="Grundtext"/>
        <w:spacing w:after="360" w:line="240" w:lineRule="exact"/>
        <w:rPr>
          <w:sz w:val="18"/>
          <w:szCs w:val="18"/>
        </w:rPr>
      </w:pPr>
      <w:r w:rsidRPr="005561A6">
        <w:rPr>
          <w:b/>
          <w:sz w:val="18"/>
          <w:szCs w:val="18"/>
        </w:rPr>
        <w:t xml:space="preserve">Der Bankenfachverband (BFACH) </w:t>
      </w:r>
      <w:r w:rsidRPr="005561A6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</w:t>
      </w:r>
      <w:r w:rsidR="00826CEA" w:rsidRPr="005561A6">
        <w:rPr>
          <w:sz w:val="18"/>
          <w:szCs w:val="18"/>
        </w:rPr>
        <w:t>6</w:t>
      </w:r>
      <w:r w:rsidRPr="005561A6">
        <w:rPr>
          <w:sz w:val="18"/>
          <w:szCs w:val="18"/>
        </w:rPr>
        <w:t>0 Milliarden Euro an Verbraucher und Unternehmen ausgeliehen und fördern damit Wirtschaft und Konjunktur.</w:t>
      </w:r>
    </w:p>
    <w:p w:rsidR="001D7533" w:rsidRPr="005561A6" w:rsidRDefault="00B12BCA" w:rsidP="00B12BCA">
      <w:pPr>
        <w:pStyle w:val="Grundtext"/>
        <w:spacing w:after="360" w:line="240" w:lineRule="exact"/>
        <w:rPr>
          <w:b/>
          <w:sz w:val="16"/>
          <w:szCs w:val="16"/>
        </w:rPr>
      </w:pPr>
      <w:r w:rsidRPr="00B12BCA">
        <w:rPr>
          <w:b/>
          <w:sz w:val="16"/>
          <w:szCs w:val="16"/>
        </w:rPr>
        <w:t xml:space="preserve">Anlagen: </w:t>
      </w:r>
      <w:hyperlink r:id="rId7" w:history="1">
        <w:r w:rsidRPr="007616E0">
          <w:rPr>
            <w:rStyle w:val="Hyperlink"/>
            <w:sz w:val="16"/>
            <w:szCs w:val="16"/>
          </w:rPr>
          <w:t>Jahres</w:t>
        </w:r>
        <w:r w:rsidR="00053990" w:rsidRPr="007616E0">
          <w:rPr>
            <w:rStyle w:val="Hyperlink"/>
            <w:sz w:val="16"/>
            <w:szCs w:val="16"/>
          </w:rPr>
          <w:t>kenn</w:t>
        </w:r>
        <w:r w:rsidRPr="007616E0">
          <w:rPr>
            <w:rStyle w:val="Hyperlink"/>
            <w:sz w:val="16"/>
            <w:szCs w:val="16"/>
          </w:rPr>
          <w:t>zahlen 2021 zur Geschäftsentwicklung der Kreditbanken</w:t>
        </w:r>
      </w:hyperlink>
      <w:bookmarkStart w:id="0" w:name="_GoBack"/>
      <w:bookmarkEnd w:id="0"/>
      <w:r>
        <w:rPr>
          <w:b/>
          <w:sz w:val="16"/>
          <w:szCs w:val="16"/>
        </w:rPr>
        <w:br/>
      </w:r>
      <w:r w:rsidRPr="00B12BCA">
        <w:rPr>
          <w:b/>
          <w:sz w:val="16"/>
          <w:szCs w:val="16"/>
        </w:rPr>
        <w:t xml:space="preserve">Link: </w:t>
      </w:r>
      <w:hyperlink r:id="rId8" w:history="1">
        <w:r w:rsidRPr="00B12BCA">
          <w:rPr>
            <w:rStyle w:val="Hyperlink"/>
            <w:sz w:val="16"/>
            <w:szCs w:val="16"/>
          </w:rPr>
          <w:t>Mitgliedsinstitute des Bankenfachverbandes (Kreditbanken)</w:t>
        </w:r>
      </w:hyperlink>
      <w:r w:rsidR="00D171C9" w:rsidRPr="00B12BCA">
        <w:rPr>
          <w:sz w:val="16"/>
          <w:szCs w:val="16"/>
        </w:rPr>
        <w:br/>
      </w:r>
      <w:r w:rsidR="00D171C9" w:rsidRPr="005561A6">
        <w:rPr>
          <w:b/>
          <w:sz w:val="16"/>
          <w:szCs w:val="16"/>
        </w:rPr>
        <w:t>Textfassung</w:t>
      </w:r>
      <w:r w:rsidR="00D171C9" w:rsidRPr="005561A6">
        <w:rPr>
          <w:sz w:val="16"/>
          <w:szCs w:val="16"/>
        </w:rPr>
        <w:t xml:space="preserve">: www.bfach.de / Presse / </w:t>
      </w:r>
      <w:r w:rsidR="00824476">
        <w:rPr>
          <w:sz w:val="16"/>
          <w:szCs w:val="16"/>
        </w:rPr>
        <w:t>17</w:t>
      </w:r>
      <w:r w:rsidR="00F71441" w:rsidRPr="005561A6">
        <w:rPr>
          <w:sz w:val="16"/>
          <w:szCs w:val="16"/>
        </w:rPr>
        <w:t>.</w:t>
      </w:r>
      <w:r w:rsidR="00322C6A">
        <w:rPr>
          <w:sz w:val="16"/>
          <w:szCs w:val="16"/>
        </w:rPr>
        <w:t>05</w:t>
      </w:r>
      <w:r w:rsidR="00F71441" w:rsidRPr="005561A6">
        <w:rPr>
          <w:sz w:val="16"/>
          <w:szCs w:val="16"/>
        </w:rPr>
        <w:t>.</w:t>
      </w:r>
      <w:r w:rsidR="00A47F5D" w:rsidRPr="005561A6">
        <w:rPr>
          <w:sz w:val="16"/>
          <w:szCs w:val="16"/>
        </w:rPr>
        <w:t>2</w:t>
      </w:r>
      <w:r w:rsidR="00826CEA" w:rsidRPr="005561A6">
        <w:rPr>
          <w:sz w:val="16"/>
          <w:szCs w:val="16"/>
        </w:rPr>
        <w:t>2</w:t>
      </w:r>
      <w:r w:rsidR="00D171C9" w:rsidRPr="005561A6">
        <w:rPr>
          <w:sz w:val="16"/>
          <w:szCs w:val="16"/>
        </w:rPr>
        <w:br/>
      </w:r>
      <w:r w:rsidR="00D171C9" w:rsidRPr="005561A6">
        <w:rPr>
          <w:b/>
          <w:sz w:val="16"/>
          <w:szCs w:val="16"/>
        </w:rPr>
        <w:t xml:space="preserve">Kontakt: </w:t>
      </w:r>
      <w:r w:rsidR="00D171C9" w:rsidRPr="005561A6">
        <w:rPr>
          <w:sz w:val="16"/>
          <w:szCs w:val="16"/>
        </w:rPr>
        <w:t xml:space="preserve">Bankenfachverband, Stephan Moll, Leiter Markt und PR, Tel. 030 2462596-14, </w:t>
      </w:r>
      <w:hyperlink r:id="rId9" w:history="1">
        <w:r w:rsidR="00603C18" w:rsidRPr="005561A6">
          <w:rPr>
            <w:rStyle w:val="Hyperlink"/>
            <w:sz w:val="16"/>
            <w:szCs w:val="16"/>
          </w:rPr>
          <w:t>stephan.moll@bfach.de</w:t>
        </w:r>
      </w:hyperlink>
    </w:p>
    <w:sectPr w:rsidR="001D7533" w:rsidRPr="005561A6">
      <w:headerReference w:type="default" r:id="rId10"/>
      <w:footerReference w:type="default" r:id="rId11"/>
      <w:headerReference w:type="first" r:id="rId12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53990"/>
    <w:rsid w:val="00057E8D"/>
    <w:rsid w:val="0007149B"/>
    <w:rsid w:val="0009102C"/>
    <w:rsid w:val="00095D97"/>
    <w:rsid w:val="000D4B9C"/>
    <w:rsid w:val="00114227"/>
    <w:rsid w:val="00127A4D"/>
    <w:rsid w:val="00131D41"/>
    <w:rsid w:val="00146A6B"/>
    <w:rsid w:val="0016197B"/>
    <w:rsid w:val="001825A2"/>
    <w:rsid w:val="001A10C2"/>
    <w:rsid w:val="001B6762"/>
    <w:rsid w:val="001D7533"/>
    <w:rsid w:val="001F41FF"/>
    <w:rsid w:val="00272D13"/>
    <w:rsid w:val="00277A3B"/>
    <w:rsid w:val="002943C1"/>
    <w:rsid w:val="002F425C"/>
    <w:rsid w:val="00311605"/>
    <w:rsid w:val="00314A84"/>
    <w:rsid w:val="00322C6A"/>
    <w:rsid w:val="003624E1"/>
    <w:rsid w:val="00384BD3"/>
    <w:rsid w:val="003932BC"/>
    <w:rsid w:val="003A1675"/>
    <w:rsid w:val="003C41AF"/>
    <w:rsid w:val="003E3A71"/>
    <w:rsid w:val="00400E5F"/>
    <w:rsid w:val="00405261"/>
    <w:rsid w:val="00423343"/>
    <w:rsid w:val="00432F7D"/>
    <w:rsid w:val="004354F4"/>
    <w:rsid w:val="00472BB4"/>
    <w:rsid w:val="00476C13"/>
    <w:rsid w:val="004A2770"/>
    <w:rsid w:val="004F76EE"/>
    <w:rsid w:val="005122CE"/>
    <w:rsid w:val="005237DA"/>
    <w:rsid w:val="00525AC1"/>
    <w:rsid w:val="005561A6"/>
    <w:rsid w:val="00587B6B"/>
    <w:rsid w:val="00594916"/>
    <w:rsid w:val="005E5D59"/>
    <w:rsid w:val="00603C18"/>
    <w:rsid w:val="00607FD3"/>
    <w:rsid w:val="006726FC"/>
    <w:rsid w:val="00673266"/>
    <w:rsid w:val="006803FF"/>
    <w:rsid w:val="00695D33"/>
    <w:rsid w:val="006A2107"/>
    <w:rsid w:val="006C180D"/>
    <w:rsid w:val="006C6114"/>
    <w:rsid w:val="006E3AA7"/>
    <w:rsid w:val="006E3FCC"/>
    <w:rsid w:val="006F0EBC"/>
    <w:rsid w:val="0071208C"/>
    <w:rsid w:val="0071716D"/>
    <w:rsid w:val="00735EAB"/>
    <w:rsid w:val="007616E0"/>
    <w:rsid w:val="007714D8"/>
    <w:rsid w:val="00771BD5"/>
    <w:rsid w:val="00787795"/>
    <w:rsid w:val="007A35F1"/>
    <w:rsid w:val="007B6AA1"/>
    <w:rsid w:val="007C496F"/>
    <w:rsid w:val="00815B37"/>
    <w:rsid w:val="00824476"/>
    <w:rsid w:val="00826523"/>
    <w:rsid w:val="00826CEA"/>
    <w:rsid w:val="00843C04"/>
    <w:rsid w:val="00856D2C"/>
    <w:rsid w:val="00884CBA"/>
    <w:rsid w:val="008C2396"/>
    <w:rsid w:val="009216AE"/>
    <w:rsid w:val="009A47F0"/>
    <w:rsid w:val="00A040E4"/>
    <w:rsid w:val="00A10B11"/>
    <w:rsid w:val="00A47F5D"/>
    <w:rsid w:val="00A54F69"/>
    <w:rsid w:val="00A62A4C"/>
    <w:rsid w:val="00A84024"/>
    <w:rsid w:val="00AA5A54"/>
    <w:rsid w:val="00AE27F3"/>
    <w:rsid w:val="00AE341B"/>
    <w:rsid w:val="00AE3BCB"/>
    <w:rsid w:val="00AF548E"/>
    <w:rsid w:val="00B12BCA"/>
    <w:rsid w:val="00B91907"/>
    <w:rsid w:val="00B96E8F"/>
    <w:rsid w:val="00BF7408"/>
    <w:rsid w:val="00C1139F"/>
    <w:rsid w:val="00C31A1A"/>
    <w:rsid w:val="00C72168"/>
    <w:rsid w:val="00C97616"/>
    <w:rsid w:val="00CE6E1F"/>
    <w:rsid w:val="00CF20D9"/>
    <w:rsid w:val="00CF23A3"/>
    <w:rsid w:val="00D171C9"/>
    <w:rsid w:val="00D55FC3"/>
    <w:rsid w:val="00D71B3E"/>
    <w:rsid w:val="00D808A1"/>
    <w:rsid w:val="00D860EF"/>
    <w:rsid w:val="00DE3BFC"/>
    <w:rsid w:val="00DF1006"/>
    <w:rsid w:val="00E04FD9"/>
    <w:rsid w:val="00E34764"/>
    <w:rsid w:val="00E36BFA"/>
    <w:rsid w:val="00EB2F09"/>
    <w:rsid w:val="00ED0A11"/>
    <w:rsid w:val="00F001CB"/>
    <w:rsid w:val="00F11954"/>
    <w:rsid w:val="00F3533E"/>
    <w:rsid w:val="00F71441"/>
    <w:rsid w:val="00F77C49"/>
    <w:rsid w:val="00F84BD2"/>
    <w:rsid w:val="00F8701A"/>
    <w:rsid w:val="00FA279B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bankenfachverband.php/cat/36/title/Verzeichn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bfach.de/media/file/46931.Jahreskennzahlen_2021_BFACH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.moll@bfac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</Template>
  <TotalTime>0</TotalTime>
  <Pages>2</Pages>
  <Words>561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4588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Sophia Wittig</cp:lastModifiedBy>
  <cp:revision>2</cp:revision>
  <cp:lastPrinted>2006-06-06T20:58:00Z</cp:lastPrinted>
  <dcterms:created xsi:type="dcterms:W3CDTF">2022-05-16T08:56:00Z</dcterms:created>
  <dcterms:modified xsi:type="dcterms:W3CDTF">2022-05-16T08:56:00Z</dcterms:modified>
</cp:coreProperties>
</file>