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A10B11" w:rsidRDefault="00255BF8" w:rsidP="00CF23A3">
      <w:pPr>
        <w:pStyle w:val="berschrift1"/>
        <w:keepNext w:val="0"/>
        <w:suppressAutoHyphens/>
      </w:pPr>
      <w:r>
        <w:t>Zweistelliges Plus im ersten Halbjahr 2022: Kreditbanken steigern Neugeschäft an Konsum- und Investitionskrediten</w:t>
      </w:r>
    </w:p>
    <w:p w:rsidR="00AC7DAF" w:rsidRDefault="00255BF8" w:rsidP="00CF23A3">
      <w:pPr>
        <w:pStyle w:val="Grundtext"/>
        <w:suppressAutoHyphens/>
        <w:spacing w:after="360"/>
      </w:pPr>
      <w:r w:rsidRPr="00871561">
        <w:t>Berlin</w:t>
      </w:r>
      <w:r w:rsidR="00F71441" w:rsidRPr="00871561">
        <w:t xml:space="preserve">, </w:t>
      </w:r>
      <w:r w:rsidR="00536DC7" w:rsidRPr="00536DC7">
        <w:t>07</w:t>
      </w:r>
      <w:r w:rsidR="00F71441" w:rsidRPr="00536DC7">
        <w:t>.</w:t>
      </w:r>
      <w:r w:rsidR="00F71441" w:rsidRPr="00871561">
        <w:t xml:space="preserve"> </w:t>
      </w:r>
      <w:r w:rsidR="00F20F8B">
        <w:t>September</w:t>
      </w:r>
      <w:r w:rsidR="00F71441" w:rsidRPr="00871561">
        <w:t xml:space="preserve"> </w:t>
      </w:r>
      <w:r w:rsidRPr="00871561">
        <w:t>2022</w:t>
      </w:r>
      <w:r w:rsidR="00F71441" w:rsidRPr="00871561">
        <w:t xml:space="preserve">. </w:t>
      </w:r>
      <w:r w:rsidRPr="00871561">
        <w:t xml:space="preserve">Die auf Finanzierungen spezialisierten Banken haben ihr </w:t>
      </w:r>
      <w:r w:rsidR="00F01DB6">
        <w:t>Kreditn</w:t>
      </w:r>
      <w:r w:rsidR="00695CD2" w:rsidRPr="00871561">
        <w:t xml:space="preserve">eugeschäft </w:t>
      </w:r>
      <w:r w:rsidR="00871561" w:rsidRPr="00871561">
        <w:t xml:space="preserve">mit Unternehmen und Verbrauchern </w:t>
      </w:r>
      <w:r w:rsidR="00695CD2" w:rsidRPr="00871561">
        <w:t xml:space="preserve">in der ersten Jahreshälfte 2022 im Vergleich zum Vorjahreszeitraum </w:t>
      </w:r>
      <w:r w:rsidR="00871561" w:rsidRPr="00871561">
        <w:t xml:space="preserve">zweistellig ausgebaut. Ihre </w:t>
      </w:r>
      <w:r w:rsidR="00ED71D1">
        <w:t xml:space="preserve">Vergabe von </w:t>
      </w:r>
      <w:r w:rsidR="00871561" w:rsidRPr="00871561">
        <w:t>Konsumkredit</w:t>
      </w:r>
      <w:r w:rsidR="00ED71D1">
        <w:t>en</w:t>
      </w:r>
      <w:r w:rsidR="00871561" w:rsidRPr="00871561">
        <w:t xml:space="preserve"> </w:t>
      </w:r>
      <w:r w:rsidR="00F20F8B">
        <w:t>erhöhten</w:t>
      </w:r>
      <w:r w:rsidR="00871561">
        <w:t xml:space="preserve"> sie um 15,5 Prozent auf einen Wert von 29,4 Milliarden Euro. Noch stärker </w:t>
      </w:r>
      <w:r w:rsidR="00732BA6">
        <w:t>bauten sie ihre</w:t>
      </w:r>
      <w:r w:rsidR="00871561">
        <w:t xml:space="preserve"> Investitionskredite </w:t>
      </w:r>
      <w:r w:rsidR="00DD375D">
        <w:t xml:space="preserve">aus </w:t>
      </w:r>
      <w:r w:rsidR="00871561">
        <w:t xml:space="preserve">und zwar um 18,3 Prozent auf 4,9 Milliarden Euro. </w:t>
      </w:r>
      <w:r w:rsidR="00AC7DAF">
        <w:t xml:space="preserve">„In der ersten Jahreshälfte haben viele Unternehmen und Verbraucher aufgeschobene Investitionen nachgeholt und finanziert,“ </w:t>
      </w:r>
      <w:r w:rsidR="00F20F8B">
        <w:t>erläutert</w:t>
      </w:r>
      <w:r w:rsidR="00AC7DAF" w:rsidRPr="00AC7DAF">
        <w:t xml:space="preserve"> </w:t>
      </w:r>
      <w:r w:rsidR="00AC7DAF">
        <w:t>Jens Loa, Geschäftsführer des Bankenfachverbandes.</w:t>
      </w:r>
    </w:p>
    <w:p w:rsidR="000A1858" w:rsidRPr="00871561" w:rsidRDefault="000A1858" w:rsidP="000A1858">
      <w:pPr>
        <w:pStyle w:val="Grundtext"/>
        <w:suppressAutoHyphens/>
        <w:spacing w:after="360"/>
      </w:pPr>
      <w:r>
        <w:t>Neben ihren Hauptgeschäftsfeldern haben die Kreditbanken auch ihr Neugeschäft in den Bereichen Händlereinkaufsfinanzierung um 1,7 Prozent und Forderungsank</w:t>
      </w:r>
      <w:r w:rsidR="00DD053E">
        <w:t>auf</w:t>
      </w:r>
      <w:r>
        <w:t xml:space="preserve"> um 2,8 Prozent gesteigert. Das Kreditneugeschäft der Kreditbanken erhöhte sich im ersten Halbjahr </w:t>
      </w:r>
      <w:r w:rsidR="00546718">
        <w:t xml:space="preserve">insgesamt </w:t>
      </w:r>
      <w:r>
        <w:t>um 9,2 Prozent und ihr Kreditbestand wuchs zur Jahresmitte um 6,6 Prozent im Vergleich zum Vorjahr</w:t>
      </w:r>
      <w:r w:rsidR="00DD053E">
        <w:t>eszeitpunkt</w:t>
      </w:r>
      <w:r>
        <w:t>.</w:t>
      </w:r>
    </w:p>
    <w:p w:rsidR="001D7533" w:rsidRPr="008B26B8" w:rsidRDefault="00F471FC" w:rsidP="00F20F8B">
      <w:pPr>
        <w:pStyle w:val="Grundtext"/>
        <w:suppressAutoHyphens/>
        <w:spacing w:after="360"/>
        <w:rPr>
          <w:rStyle w:val="Hyperlink"/>
          <w:rFonts w:cs="Arial"/>
          <w:b/>
          <w:bCs/>
          <w:iCs/>
          <w:color w:val="auto"/>
          <w:szCs w:val="28"/>
          <w:u w:val="none"/>
        </w:rPr>
      </w:pPr>
      <w:r>
        <w:rPr>
          <w:rFonts w:cs="Arial"/>
          <w:b/>
          <w:bCs/>
          <w:iCs/>
          <w:szCs w:val="28"/>
        </w:rPr>
        <w:t>Wachstum</w:t>
      </w:r>
      <w:r w:rsidR="00F20F8B">
        <w:rPr>
          <w:rFonts w:cs="Arial"/>
          <w:b/>
          <w:bCs/>
          <w:iCs/>
          <w:szCs w:val="28"/>
        </w:rPr>
        <w:t xml:space="preserve"> bei </w:t>
      </w:r>
      <w:r w:rsidR="000A1858">
        <w:rPr>
          <w:rFonts w:cs="Arial"/>
          <w:b/>
          <w:bCs/>
          <w:iCs/>
          <w:szCs w:val="28"/>
        </w:rPr>
        <w:t>Internet</w:t>
      </w:r>
      <w:r w:rsidR="00CC71E6">
        <w:rPr>
          <w:rFonts w:cs="Arial"/>
          <w:b/>
          <w:bCs/>
          <w:iCs/>
          <w:szCs w:val="28"/>
        </w:rPr>
        <w:t>k</w:t>
      </w:r>
      <w:r w:rsidR="000A1858">
        <w:rPr>
          <w:rFonts w:cs="Arial"/>
          <w:b/>
          <w:bCs/>
          <w:iCs/>
          <w:szCs w:val="28"/>
        </w:rPr>
        <w:t>redite</w:t>
      </w:r>
      <w:r w:rsidR="00F20F8B">
        <w:rPr>
          <w:rFonts w:cs="Arial"/>
          <w:b/>
          <w:bCs/>
          <w:iCs/>
          <w:szCs w:val="28"/>
        </w:rPr>
        <w:t>n und Kfz-Finanzierungen</w:t>
      </w:r>
      <w:r w:rsidR="00F20F8B">
        <w:rPr>
          <w:rFonts w:cs="Arial"/>
          <w:b/>
          <w:bCs/>
          <w:iCs/>
          <w:szCs w:val="28"/>
        </w:rPr>
        <w:br/>
      </w:r>
      <w:r w:rsidR="00F20F8B" w:rsidRPr="00F20F8B">
        <w:rPr>
          <w:rFonts w:cs="Arial"/>
          <w:bCs/>
          <w:iCs/>
          <w:szCs w:val="28"/>
        </w:rPr>
        <w:t>Starke</w:t>
      </w:r>
      <w:r w:rsidR="00F20F8B">
        <w:rPr>
          <w:rFonts w:cs="Arial"/>
          <w:b/>
          <w:bCs/>
          <w:iCs/>
          <w:szCs w:val="28"/>
        </w:rPr>
        <w:t xml:space="preserve"> </w:t>
      </w:r>
      <w:r w:rsidR="00F20F8B" w:rsidRPr="00F20F8B">
        <w:rPr>
          <w:rFonts w:cs="Arial"/>
          <w:bCs/>
          <w:iCs/>
          <w:szCs w:val="28"/>
        </w:rPr>
        <w:t>Zuwäch</w:t>
      </w:r>
      <w:r w:rsidR="00F20F8B">
        <w:rPr>
          <w:rFonts w:cs="Arial"/>
          <w:bCs/>
          <w:iCs/>
          <w:szCs w:val="28"/>
        </w:rPr>
        <w:t xml:space="preserve">se </w:t>
      </w:r>
      <w:r w:rsidR="0085116A">
        <w:rPr>
          <w:rFonts w:cs="Arial"/>
          <w:bCs/>
          <w:iCs/>
          <w:szCs w:val="28"/>
        </w:rPr>
        <w:t>verzeichneten</w:t>
      </w:r>
      <w:r w:rsidR="00F20F8B">
        <w:rPr>
          <w:rFonts w:cs="Arial"/>
          <w:bCs/>
          <w:iCs/>
          <w:szCs w:val="28"/>
        </w:rPr>
        <w:t xml:space="preserve"> die Kreditbanken </w:t>
      </w:r>
      <w:r w:rsidR="0085116A">
        <w:rPr>
          <w:rFonts w:cs="Arial"/>
          <w:bCs/>
          <w:iCs/>
          <w:szCs w:val="28"/>
        </w:rPr>
        <w:t xml:space="preserve">auch </w:t>
      </w:r>
      <w:r w:rsidR="00F20F8B">
        <w:rPr>
          <w:rFonts w:cs="Arial"/>
          <w:bCs/>
          <w:iCs/>
          <w:szCs w:val="28"/>
        </w:rPr>
        <w:t>im Online-Geschäft. An Privatkunden vergaben sie 9,4 Milliarden Euro per Internet, das ist ein Plus von 32,</w:t>
      </w:r>
      <w:r w:rsidR="00C41B79">
        <w:rPr>
          <w:rFonts w:cs="Arial"/>
          <w:bCs/>
          <w:iCs/>
          <w:szCs w:val="28"/>
        </w:rPr>
        <w:t>6</w:t>
      </w:r>
      <w:r w:rsidR="00F20F8B">
        <w:rPr>
          <w:rFonts w:cs="Arial"/>
          <w:bCs/>
          <w:iCs/>
          <w:szCs w:val="28"/>
        </w:rPr>
        <w:t xml:space="preserve"> Prozent zum ersten Halbjahr des Vorjahres. </w:t>
      </w:r>
      <w:r w:rsidR="008B26B8">
        <w:rPr>
          <w:rFonts w:cs="Arial"/>
          <w:bCs/>
          <w:iCs/>
          <w:szCs w:val="28"/>
        </w:rPr>
        <w:t>Auch ihre Kfz-Finanzierungen legten deutlich zu. So steigerten die Institute ihre privaten Kfz-Finanzierungen um 9,1 Prozent und ihre gewerblichen Kfz-Finanzierungen um 18,8 Prozent.</w:t>
      </w:r>
      <w:r w:rsidR="008B26B8">
        <w:rPr>
          <w:rFonts w:cs="Arial"/>
          <w:b/>
          <w:bCs/>
          <w:iCs/>
          <w:szCs w:val="28"/>
        </w:rPr>
        <w:t xml:space="preserve"> </w:t>
      </w:r>
      <w:r w:rsidR="00F01DB6">
        <w:t>„</w:t>
      </w:r>
      <w:r w:rsidR="00DD375D">
        <w:t xml:space="preserve">Die Kreditbanken haben sich als widerstandskräftig erwiesen und Resilienz </w:t>
      </w:r>
      <w:r w:rsidR="0085116A">
        <w:t>demonstriert</w:t>
      </w:r>
      <w:r w:rsidR="00F01DB6">
        <w:t xml:space="preserve">“, </w:t>
      </w:r>
      <w:r w:rsidR="00F20F8B">
        <w:t>so Loa.</w:t>
      </w:r>
      <w:r w:rsidR="00F01DB6">
        <w:t xml:space="preserve"> </w:t>
      </w:r>
    </w:p>
    <w:p w:rsidR="00255BF8" w:rsidRPr="00D17B2A" w:rsidRDefault="00255BF8" w:rsidP="00D17B2A">
      <w:pPr>
        <w:tabs>
          <w:tab w:val="clear" w:pos="1239"/>
          <w:tab w:val="clear" w:pos="3686"/>
          <w:tab w:val="clear" w:pos="8845"/>
        </w:tabs>
        <w:spacing w:after="360" w:line="264" w:lineRule="auto"/>
        <w:rPr>
          <w:sz w:val="18"/>
          <w:szCs w:val="18"/>
        </w:rPr>
      </w:pPr>
      <w:r w:rsidRPr="00255BF8">
        <w:rPr>
          <w:b/>
          <w:sz w:val="18"/>
          <w:szCs w:val="18"/>
        </w:rPr>
        <w:t xml:space="preserve">Der Bankenfachverband (BFACH) </w:t>
      </w:r>
      <w:r w:rsidRPr="00255BF8">
        <w:rPr>
          <w:sz w:val="18"/>
          <w:szCs w:val="18"/>
        </w:rPr>
        <w:t>vertritt die Interessen der Kreditbanken in Deutschland. Seine Mitglieder sind die Experten für die Finanzieru</w:t>
      </w:r>
      <w:bookmarkStart w:id="0" w:name="_GoBack"/>
      <w:bookmarkEnd w:id="0"/>
      <w:r w:rsidRPr="00255BF8">
        <w:rPr>
          <w:sz w:val="18"/>
          <w:szCs w:val="18"/>
        </w:rPr>
        <w:t>ng von Konsum- und Investitionsgütern wie Kraftfahrzeugen aller Art. Die Kreditbanken haben mehr als 1</w:t>
      </w:r>
      <w:r>
        <w:rPr>
          <w:sz w:val="18"/>
          <w:szCs w:val="18"/>
        </w:rPr>
        <w:t>7</w:t>
      </w:r>
      <w:r w:rsidRPr="00255BF8">
        <w:rPr>
          <w:sz w:val="18"/>
          <w:szCs w:val="18"/>
        </w:rPr>
        <w:t>0 Milliarden Euro an Verbraucher und Unternehmen ausgeliehen und fördern damit Wirtschaft und Konjunktur.</w:t>
      </w:r>
      <w:r w:rsidRPr="00255BF8">
        <w:rPr>
          <w:sz w:val="18"/>
          <w:szCs w:val="18"/>
        </w:rPr>
        <w:br/>
      </w:r>
      <w:r w:rsidRPr="00255BF8">
        <w:rPr>
          <w:b/>
          <w:sz w:val="18"/>
          <w:szCs w:val="18"/>
        </w:rPr>
        <w:br/>
        <w:t>Anlage</w:t>
      </w:r>
      <w:r w:rsidRPr="00255BF8">
        <w:rPr>
          <w:sz w:val="18"/>
          <w:szCs w:val="18"/>
        </w:rPr>
        <w:t xml:space="preserve">: </w:t>
      </w:r>
      <w:hyperlink r:id="rId7" w:history="1">
        <w:r w:rsidRPr="000F4868">
          <w:rPr>
            <w:rStyle w:val="Hyperlink"/>
            <w:color w:val="004E9E" w:themeColor="accent2"/>
            <w:sz w:val="18"/>
            <w:szCs w:val="18"/>
          </w:rPr>
          <w:t>Halbjahreszahlen 2022 zur Geschäftsentwicklung der Kreditbanken</w:t>
        </w:r>
      </w:hyperlink>
      <w:r w:rsidRPr="00255BF8">
        <w:rPr>
          <w:sz w:val="18"/>
          <w:szCs w:val="18"/>
        </w:rPr>
        <w:br/>
      </w:r>
      <w:r w:rsidRPr="00255BF8">
        <w:rPr>
          <w:b/>
          <w:sz w:val="18"/>
          <w:szCs w:val="18"/>
        </w:rPr>
        <w:t xml:space="preserve">Link: </w:t>
      </w:r>
      <w:hyperlink r:id="rId8" w:history="1">
        <w:r w:rsidRPr="00255BF8">
          <w:rPr>
            <w:color w:val="004E9E" w:themeColor="accent2"/>
            <w:sz w:val="18"/>
            <w:szCs w:val="18"/>
            <w:u w:val="single"/>
          </w:rPr>
          <w:t>Mitgliedsinstitute des Bankenfachverbandes (Kreditbanken)</w:t>
        </w:r>
      </w:hyperlink>
      <w:r w:rsidRPr="00255BF8">
        <w:rPr>
          <w:sz w:val="16"/>
          <w:szCs w:val="16"/>
        </w:rPr>
        <w:br/>
      </w:r>
      <w:r w:rsidRPr="00255BF8">
        <w:rPr>
          <w:b/>
          <w:sz w:val="16"/>
          <w:szCs w:val="16"/>
        </w:rPr>
        <w:t>Textfassung</w:t>
      </w:r>
      <w:r w:rsidRPr="00255BF8">
        <w:rPr>
          <w:sz w:val="16"/>
          <w:szCs w:val="16"/>
        </w:rPr>
        <w:t xml:space="preserve">: www.bfach.de / Presse / </w:t>
      </w:r>
      <w:r w:rsidR="00536DC7" w:rsidRPr="00536DC7">
        <w:rPr>
          <w:sz w:val="16"/>
          <w:szCs w:val="16"/>
        </w:rPr>
        <w:t>07</w:t>
      </w:r>
      <w:r w:rsidRPr="00536DC7">
        <w:rPr>
          <w:sz w:val="16"/>
          <w:szCs w:val="16"/>
        </w:rPr>
        <w:t>.</w:t>
      </w:r>
      <w:r w:rsidRPr="00255BF8">
        <w:rPr>
          <w:sz w:val="16"/>
          <w:szCs w:val="16"/>
        </w:rPr>
        <w:t>0</w:t>
      </w:r>
      <w:r w:rsidR="00063A65">
        <w:rPr>
          <w:sz w:val="16"/>
          <w:szCs w:val="16"/>
        </w:rPr>
        <w:t>9</w:t>
      </w:r>
      <w:r w:rsidRPr="00255BF8">
        <w:rPr>
          <w:sz w:val="16"/>
          <w:szCs w:val="16"/>
        </w:rPr>
        <w:t>.2</w:t>
      </w:r>
      <w:r w:rsidR="00795C37">
        <w:rPr>
          <w:sz w:val="16"/>
          <w:szCs w:val="16"/>
        </w:rPr>
        <w:t>2</w:t>
      </w:r>
      <w:r w:rsidRPr="00255BF8">
        <w:rPr>
          <w:sz w:val="16"/>
          <w:szCs w:val="16"/>
        </w:rPr>
        <w:br/>
      </w:r>
      <w:r w:rsidRPr="00255BF8">
        <w:rPr>
          <w:b/>
          <w:sz w:val="16"/>
          <w:szCs w:val="16"/>
        </w:rPr>
        <w:t xml:space="preserve">Kontakt: </w:t>
      </w:r>
      <w:r w:rsidRPr="00255BF8">
        <w:rPr>
          <w:sz w:val="16"/>
          <w:szCs w:val="16"/>
        </w:rPr>
        <w:t xml:space="preserve">Bankenfachverband, Stephan Moll, Leiter Markt und PR, Tel. 030 2462596-14, </w:t>
      </w:r>
      <w:hyperlink r:id="rId9" w:history="1">
        <w:r w:rsidRPr="00255BF8">
          <w:rPr>
            <w:color w:val="004E9E" w:themeColor="accent2"/>
            <w:sz w:val="16"/>
            <w:szCs w:val="16"/>
            <w:u w:val="single"/>
          </w:rPr>
          <w:t>stephan.moll@bfach.de</w:t>
        </w:r>
      </w:hyperlink>
    </w:p>
    <w:sectPr w:rsidR="00255BF8" w:rsidRPr="00D17B2A" w:rsidSect="00536DC7">
      <w:headerReference w:type="default" r:id="rId10"/>
      <w:footerReference w:type="default" r:id="rId11"/>
      <w:headerReference w:type="first" r:id="rId12"/>
      <w:pgSz w:w="11906" w:h="16838" w:code="9"/>
      <w:pgMar w:top="3402" w:right="1304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63A65"/>
    <w:rsid w:val="0007149B"/>
    <w:rsid w:val="0009102C"/>
    <w:rsid w:val="000A1858"/>
    <w:rsid w:val="000D4B9C"/>
    <w:rsid w:val="000F4868"/>
    <w:rsid w:val="00114227"/>
    <w:rsid w:val="00135F2D"/>
    <w:rsid w:val="0016197B"/>
    <w:rsid w:val="001825A2"/>
    <w:rsid w:val="001A10C2"/>
    <w:rsid w:val="001B6762"/>
    <w:rsid w:val="001D7533"/>
    <w:rsid w:val="001F41FF"/>
    <w:rsid w:val="00255BF8"/>
    <w:rsid w:val="00272D13"/>
    <w:rsid w:val="00277A3B"/>
    <w:rsid w:val="002943C1"/>
    <w:rsid w:val="002E236B"/>
    <w:rsid w:val="00314A84"/>
    <w:rsid w:val="00384BD3"/>
    <w:rsid w:val="003932BC"/>
    <w:rsid w:val="003A1675"/>
    <w:rsid w:val="003C41AF"/>
    <w:rsid w:val="003E3A71"/>
    <w:rsid w:val="00405261"/>
    <w:rsid w:val="00423343"/>
    <w:rsid w:val="004354F4"/>
    <w:rsid w:val="00440D04"/>
    <w:rsid w:val="00472BB4"/>
    <w:rsid w:val="004774E6"/>
    <w:rsid w:val="004C45AC"/>
    <w:rsid w:val="004F76EE"/>
    <w:rsid w:val="00525AC1"/>
    <w:rsid w:val="00536DC7"/>
    <w:rsid w:val="00546718"/>
    <w:rsid w:val="00587B6B"/>
    <w:rsid w:val="00594916"/>
    <w:rsid w:val="005E5D59"/>
    <w:rsid w:val="00603C18"/>
    <w:rsid w:val="00607FD3"/>
    <w:rsid w:val="006803FF"/>
    <w:rsid w:val="00695CD2"/>
    <w:rsid w:val="006C180D"/>
    <w:rsid w:val="006C6114"/>
    <w:rsid w:val="0071716D"/>
    <w:rsid w:val="00732BA6"/>
    <w:rsid w:val="00771BD5"/>
    <w:rsid w:val="00787795"/>
    <w:rsid w:val="00795C37"/>
    <w:rsid w:val="007A35F1"/>
    <w:rsid w:val="007B6AA1"/>
    <w:rsid w:val="007C496F"/>
    <w:rsid w:val="00815B37"/>
    <w:rsid w:val="00826CEA"/>
    <w:rsid w:val="00843C04"/>
    <w:rsid w:val="0085116A"/>
    <w:rsid w:val="00856D2C"/>
    <w:rsid w:val="00871561"/>
    <w:rsid w:val="00884CBA"/>
    <w:rsid w:val="008B26B8"/>
    <w:rsid w:val="009216AE"/>
    <w:rsid w:val="009A47F0"/>
    <w:rsid w:val="00A040E4"/>
    <w:rsid w:val="00A10B11"/>
    <w:rsid w:val="00A47F5D"/>
    <w:rsid w:val="00A62A4C"/>
    <w:rsid w:val="00AA5A54"/>
    <w:rsid w:val="00AC7DAF"/>
    <w:rsid w:val="00AE27F3"/>
    <w:rsid w:val="00AE3BCB"/>
    <w:rsid w:val="00B96E8F"/>
    <w:rsid w:val="00BB5E51"/>
    <w:rsid w:val="00BF7408"/>
    <w:rsid w:val="00C31A1A"/>
    <w:rsid w:val="00C41B79"/>
    <w:rsid w:val="00CC71E6"/>
    <w:rsid w:val="00CE6E1F"/>
    <w:rsid w:val="00CF20D9"/>
    <w:rsid w:val="00CF23A3"/>
    <w:rsid w:val="00D171C9"/>
    <w:rsid w:val="00D17B2A"/>
    <w:rsid w:val="00D55FC3"/>
    <w:rsid w:val="00D71B3E"/>
    <w:rsid w:val="00D808A1"/>
    <w:rsid w:val="00D860EF"/>
    <w:rsid w:val="00DD053E"/>
    <w:rsid w:val="00DD375D"/>
    <w:rsid w:val="00DF1006"/>
    <w:rsid w:val="00E04FD9"/>
    <w:rsid w:val="00E36BFA"/>
    <w:rsid w:val="00EB2F09"/>
    <w:rsid w:val="00ED0A11"/>
    <w:rsid w:val="00ED71D1"/>
    <w:rsid w:val="00F01DB6"/>
    <w:rsid w:val="00F20F8B"/>
    <w:rsid w:val="00F3533E"/>
    <w:rsid w:val="00F471FC"/>
    <w:rsid w:val="00F71441"/>
    <w:rsid w:val="00F77C49"/>
    <w:rsid w:val="00F8701A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36/title/Verzeich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48471.BFACH_Halbjahreszahlen_2022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.moll@bfac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Presse_Presseinformation_Entwurf.dotx</Template>
  <TotalTime>0</TotalTime>
  <Pages>1</Pages>
  <Words>284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2496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Nermana Ljubuncic</cp:lastModifiedBy>
  <cp:revision>5</cp:revision>
  <cp:lastPrinted>2006-06-06T20:58:00Z</cp:lastPrinted>
  <dcterms:created xsi:type="dcterms:W3CDTF">2022-09-05T07:52:00Z</dcterms:created>
  <dcterms:modified xsi:type="dcterms:W3CDTF">2022-09-06T08:25:00Z</dcterms:modified>
</cp:coreProperties>
</file>