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33" w:rsidRPr="007A35F2" w:rsidRDefault="00E800C4" w:rsidP="00CF23A3">
      <w:pPr>
        <w:pStyle w:val="berschrift1"/>
        <w:keepNext w:val="0"/>
        <w:suppressAutoHyphens/>
      </w:pPr>
      <w:r w:rsidRPr="007A35F2">
        <w:t>Konsumkredit-Index</w:t>
      </w:r>
      <w:r w:rsidR="00346C7F">
        <w:t xml:space="preserve"> </w:t>
      </w:r>
      <w:r w:rsidR="00346C7F" w:rsidRPr="007A35F2">
        <w:t>2022/2023</w:t>
      </w:r>
      <w:r w:rsidRPr="007A35F2">
        <w:t xml:space="preserve">: Prognose der </w:t>
      </w:r>
      <w:r w:rsidR="00346C7F">
        <w:t xml:space="preserve">privaten </w:t>
      </w:r>
      <w:r w:rsidRPr="007A35F2">
        <w:t>Kreditnutzung</w:t>
      </w:r>
      <w:r w:rsidR="00346C7F">
        <w:t xml:space="preserve"> </w:t>
      </w:r>
      <w:r w:rsidRPr="007A35F2">
        <w:t>stabil mit leicht fallender Tendenz</w:t>
      </w:r>
    </w:p>
    <w:p w:rsidR="00F71441" w:rsidRDefault="00E800C4" w:rsidP="00CF23A3">
      <w:pPr>
        <w:pStyle w:val="Grundtext"/>
        <w:suppressAutoHyphens/>
        <w:spacing w:after="360"/>
      </w:pPr>
      <w:r w:rsidRPr="007A35F2">
        <w:t>Berlin</w:t>
      </w:r>
      <w:r w:rsidR="00F71441" w:rsidRPr="007A35F2">
        <w:t xml:space="preserve">, </w:t>
      </w:r>
      <w:r w:rsidR="009F272A" w:rsidRPr="009F272A">
        <w:t>12.</w:t>
      </w:r>
      <w:r w:rsidR="00F71441" w:rsidRPr="007A35F2">
        <w:t xml:space="preserve"> </w:t>
      </w:r>
      <w:r w:rsidRPr="007A35F2">
        <w:t>September 2022</w:t>
      </w:r>
      <w:r w:rsidR="00F71441" w:rsidRPr="007A35F2">
        <w:t xml:space="preserve">. </w:t>
      </w:r>
      <w:r w:rsidRPr="007A35F2">
        <w:t>Privatpersonen w</w:t>
      </w:r>
      <w:r w:rsidR="007A35F2" w:rsidRPr="007A35F2">
        <w:t>e</w:t>
      </w:r>
      <w:r w:rsidRPr="007A35F2">
        <w:t xml:space="preserve">rden künftig </w:t>
      </w:r>
      <w:r w:rsidR="007A35F2" w:rsidRPr="007A35F2">
        <w:t xml:space="preserve">tendenziell etwas weniger Kredite zur Anschaffung </w:t>
      </w:r>
      <w:r w:rsidR="007A35F2">
        <w:t>von Konsumgütern nutzen als in den vergangen</w:t>
      </w:r>
      <w:r w:rsidR="00605B11">
        <w:t>en</w:t>
      </w:r>
      <w:r w:rsidR="007A35F2">
        <w:t xml:space="preserve"> zwölf Monaten. Zu diesem Ergebnis kommt der aktuelle Konsumkredit-Index </w:t>
      </w:r>
      <w:r w:rsidR="00104A27">
        <w:t xml:space="preserve">(KKI) </w:t>
      </w:r>
      <w:r w:rsidR="007A35F2">
        <w:t>des Bankenfachverbandes</w:t>
      </w:r>
      <w:r w:rsidR="00605B11">
        <w:t xml:space="preserve">, für den die Marktforschungsgesellschaft Ipsos </w:t>
      </w:r>
      <w:r w:rsidR="00104A27">
        <w:t xml:space="preserve">rund 1.800 </w:t>
      </w:r>
      <w:r w:rsidR="00605B11">
        <w:t xml:space="preserve">Verbraucherhaushalte nach ihren </w:t>
      </w:r>
      <w:r w:rsidR="00120C8A">
        <w:t>zu</w:t>
      </w:r>
      <w:r w:rsidR="00605B11">
        <w:t>künftigen Konsum- und Finanzierungsabsichten befragt hat.</w:t>
      </w:r>
      <w:r w:rsidR="00104A27">
        <w:t xml:space="preserve"> </w:t>
      </w:r>
      <w:r w:rsidR="00FA6E51">
        <w:t>Mit</w:t>
      </w:r>
      <w:r w:rsidR="00104A27">
        <w:t xml:space="preserve"> 78 Punkten </w:t>
      </w:r>
      <w:r w:rsidR="00FA6E51">
        <w:t xml:space="preserve">hat der aktuelle KKI den niedrigsten Wert seit seiner Einführung im Jahr 2011. Damit </w:t>
      </w:r>
      <w:r w:rsidR="00802C0C">
        <w:t xml:space="preserve">weist der KKI zwar eine </w:t>
      </w:r>
      <w:r w:rsidR="006178EB">
        <w:t xml:space="preserve">leicht </w:t>
      </w:r>
      <w:r w:rsidR="00802C0C">
        <w:t xml:space="preserve">fallende Tendenz auf, </w:t>
      </w:r>
      <w:r w:rsidR="00104A27">
        <w:t xml:space="preserve">liegt </w:t>
      </w:r>
      <w:r w:rsidR="00802C0C">
        <w:t xml:space="preserve">aber </w:t>
      </w:r>
      <w:r w:rsidR="00104A27">
        <w:t>noch im stabilen Bereich</w:t>
      </w:r>
      <w:r w:rsidR="00802C0C">
        <w:t>.</w:t>
      </w:r>
      <w:r w:rsidR="00104A27">
        <w:t xml:space="preserve"> </w:t>
      </w:r>
    </w:p>
    <w:p w:rsidR="00FA6E51" w:rsidRPr="00FA6E51" w:rsidRDefault="000D1BEC" w:rsidP="00CF23A3">
      <w:pPr>
        <w:pStyle w:val="Grundtext"/>
        <w:suppressAutoHyphens/>
        <w:spacing w:after="360"/>
        <w:rPr>
          <w:b/>
        </w:rPr>
      </w:pPr>
      <w:r>
        <w:rPr>
          <w:b/>
        </w:rPr>
        <w:t>Auto</w:t>
      </w:r>
      <w:r w:rsidR="00FA6E51" w:rsidRPr="00FA6E51">
        <w:rPr>
          <w:b/>
        </w:rPr>
        <w:t>-Finanzierungen konstant</w:t>
      </w:r>
      <w:r w:rsidR="00FA6E51">
        <w:rPr>
          <w:b/>
        </w:rPr>
        <w:br/>
      </w:r>
      <w:r w:rsidR="00FA6E51" w:rsidRPr="00FA6E51">
        <w:t xml:space="preserve">Während die </w:t>
      </w:r>
      <w:r w:rsidR="00DC1D5A">
        <w:t xml:space="preserve">Nutzung von </w:t>
      </w:r>
      <w:r w:rsidR="00FA6E51" w:rsidRPr="00FA6E51">
        <w:t>Konsumkredit</w:t>
      </w:r>
      <w:r w:rsidR="00DC1D5A">
        <w:t xml:space="preserve">en </w:t>
      </w:r>
      <w:r w:rsidR="00FA6E51" w:rsidRPr="00FA6E51">
        <w:t>insgesamt leicht zurüc</w:t>
      </w:r>
      <w:r w:rsidR="00FA6E51">
        <w:t>kgehen dürfte, gibt es Unterschied</w:t>
      </w:r>
      <w:r w:rsidR="007735ED">
        <w:t xml:space="preserve">e bei den Trends der einzelnen Finanzierungsgüter. So sind </w:t>
      </w:r>
      <w:r w:rsidR="006A62CE">
        <w:t xml:space="preserve">zwar </w:t>
      </w:r>
      <w:r w:rsidR="007735ED">
        <w:t>weniger Kredite für Unterhaltungselektronik und Haushaltsgroßgeräte</w:t>
      </w:r>
      <w:r w:rsidR="006A62CE">
        <w:t xml:space="preserve">, dafür aber </w:t>
      </w:r>
      <w:r w:rsidR="007735ED">
        <w:t xml:space="preserve">mehr Kredite für Möbel bzw. Küchen sowie sonstige Konsumgüter zu erwarten. Die Nachfrage nach </w:t>
      </w:r>
      <w:r>
        <w:t>Auto</w:t>
      </w:r>
      <w:r w:rsidR="007735ED">
        <w:t xml:space="preserve">-Finanzierungen soll konstant bleiben. </w:t>
      </w:r>
      <w:r w:rsidR="00DC1D5A">
        <w:t>„Kraftfahrzeuge sind weiterhin die wichtigsten Finanzierungsgüter“, sagt Jens Loa, Geschäftsführer des Bankenfachverbandes.</w:t>
      </w:r>
    </w:p>
    <w:p w:rsidR="00F71441" w:rsidRDefault="00E800C4" w:rsidP="00CF23A3">
      <w:pPr>
        <w:pStyle w:val="Grundtext"/>
        <w:suppressAutoHyphens/>
        <w:spacing w:after="360"/>
      </w:pPr>
      <w:r w:rsidRPr="007A35F2">
        <w:rPr>
          <w:rFonts w:cs="Arial"/>
          <w:b/>
          <w:bCs/>
          <w:iCs/>
          <w:szCs w:val="28"/>
        </w:rPr>
        <w:t xml:space="preserve">Finanzierungsplanung </w:t>
      </w:r>
      <w:r w:rsidR="008476B3">
        <w:rPr>
          <w:rFonts w:cs="Arial"/>
          <w:b/>
          <w:bCs/>
          <w:iCs/>
          <w:szCs w:val="28"/>
        </w:rPr>
        <w:t>stabil</w:t>
      </w:r>
      <w:r w:rsidR="00294B11">
        <w:rPr>
          <w:rFonts w:cs="Arial"/>
          <w:b/>
          <w:bCs/>
          <w:iCs/>
          <w:szCs w:val="28"/>
        </w:rPr>
        <w:t xml:space="preserve">isiert </w:t>
      </w:r>
      <w:r w:rsidR="000D1BEC">
        <w:rPr>
          <w:rFonts w:cs="Arial"/>
          <w:b/>
          <w:bCs/>
          <w:iCs/>
          <w:szCs w:val="28"/>
        </w:rPr>
        <w:br/>
      </w:r>
      <w:r w:rsidR="000D1BEC">
        <w:t>Die Nutzung von Konsumkrediten ist davon abhängig, ob Verbraucher planen, sich Konsumgüter anzuschaffen</w:t>
      </w:r>
      <w:r w:rsidR="00E0642A">
        <w:t>,</w:t>
      </w:r>
      <w:r w:rsidR="000D1BEC">
        <w:t xml:space="preserve"> und ob sie beabsichtigen, diese zu finanzieren. Der </w:t>
      </w:r>
      <w:r w:rsidR="00DC1D5A">
        <w:t xml:space="preserve">niedrige Wert des aktuellen </w:t>
      </w:r>
      <w:r w:rsidR="000D1BEC">
        <w:t xml:space="preserve">KKI </w:t>
      </w:r>
      <w:r w:rsidR="00DC1D5A">
        <w:t>liegt</w:t>
      </w:r>
      <w:r w:rsidR="000D1BEC">
        <w:t xml:space="preserve"> in erster Linie in einer zurückhaltenden Anschaffungsplanung</w:t>
      </w:r>
      <w:bookmarkStart w:id="0" w:name="_GoBack"/>
      <w:bookmarkEnd w:id="0"/>
      <w:r w:rsidR="000D1BEC">
        <w:t xml:space="preserve"> begründet, der Teil-Indexwert beträgt hier 67 Punkte. Die Finanzierungsplanung</w:t>
      </w:r>
      <w:r w:rsidR="0092623F">
        <w:t xml:space="preserve"> der Haushalte</w:t>
      </w:r>
      <w:r w:rsidR="000D1BEC">
        <w:t xml:space="preserve"> ist mit 117 Punkten </w:t>
      </w:r>
      <w:r w:rsidR="00E0642A">
        <w:t xml:space="preserve">dagegen </w:t>
      </w:r>
      <w:r w:rsidR="000D1BEC">
        <w:t>stärker ausgeprägt</w:t>
      </w:r>
      <w:r w:rsidR="00173F03">
        <w:t>.</w:t>
      </w:r>
      <w:r w:rsidR="006A62CE">
        <w:t xml:space="preserve"> </w:t>
      </w:r>
      <w:r w:rsidR="007D50EC" w:rsidRPr="007D50EC">
        <w:t>„Finanzierungen wirken sich stabilisierend auf den rückläufigen Konsum und damit auch auf die Konjunktur aus“, so Loa.</w:t>
      </w:r>
    </w:p>
    <w:p w:rsidR="0092623F" w:rsidRPr="000D1BEC" w:rsidRDefault="0092623F" w:rsidP="0092623F">
      <w:pPr>
        <w:pStyle w:val="Grundtext"/>
        <w:suppressAutoHyphens/>
        <w:spacing w:after="360" w:line="240" w:lineRule="exact"/>
        <w:rPr>
          <w:rFonts w:cs="Arial"/>
          <w:b/>
          <w:bCs/>
          <w:iCs/>
          <w:szCs w:val="28"/>
        </w:rPr>
      </w:pPr>
      <w:r w:rsidRPr="00673E26">
        <w:rPr>
          <w:b/>
          <w:sz w:val="16"/>
          <w:szCs w:val="16"/>
        </w:rPr>
        <w:t xml:space="preserve">Anlagen: </w:t>
      </w:r>
      <w:hyperlink r:id="rId7" w:history="1">
        <w:r w:rsidRPr="00E63AD2">
          <w:rPr>
            <w:rStyle w:val="Hyperlink"/>
            <w:color w:val="004E9E" w:themeColor="accent2"/>
            <w:sz w:val="16"/>
            <w:szCs w:val="16"/>
          </w:rPr>
          <w:t>Infografik Konsumkredit-Index</w:t>
        </w:r>
      </w:hyperlink>
      <w:r w:rsidRPr="00E63AD2">
        <w:rPr>
          <w:color w:val="004E9E" w:themeColor="accent2"/>
          <w:sz w:val="16"/>
          <w:szCs w:val="16"/>
        </w:rPr>
        <w:t xml:space="preserve">, </w:t>
      </w:r>
      <w:hyperlink r:id="rId8" w:history="1">
        <w:r w:rsidRPr="00E63AD2">
          <w:rPr>
            <w:rStyle w:val="Hyperlink"/>
            <w:color w:val="004E9E" w:themeColor="accent2"/>
            <w:sz w:val="16"/>
            <w:szCs w:val="16"/>
          </w:rPr>
          <w:t>Studie KKI 2022/2023</w:t>
        </w:r>
      </w:hyperlink>
      <w:r>
        <w:rPr>
          <w:sz w:val="16"/>
          <w:szCs w:val="16"/>
        </w:rPr>
        <w:br/>
      </w:r>
      <w:r w:rsidRPr="00A51E76">
        <w:rPr>
          <w:b/>
          <w:sz w:val="16"/>
          <w:szCs w:val="16"/>
        </w:rPr>
        <w:t>Textfassung</w:t>
      </w:r>
      <w:r w:rsidRPr="00A51E76">
        <w:rPr>
          <w:sz w:val="16"/>
          <w:szCs w:val="16"/>
        </w:rPr>
        <w:t xml:space="preserve">: </w:t>
      </w:r>
      <w:r w:rsidRPr="00E63AD2">
        <w:rPr>
          <w:sz w:val="16"/>
          <w:szCs w:val="16"/>
        </w:rPr>
        <w:t xml:space="preserve">www.bfach.de / Presse / </w:t>
      </w:r>
      <w:r w:rsidR="0002276B" w:rsidRPr="00E63AD2">
        <w:rPr>
          <w:sz w:val="16"/>
          <w:szCs w:val="16"/>
        </w:rPr>
        <w:t>12.</w:t>
      </w:r>
      <w:r w:rsidRPr="00E63AD2">
        <w:rPr>
          <w:sz w:val="16"/>
          <w:szCs w:val="16"/>
        </w:rPr>
        <w:t>09.22</w:t>
      </w:r>
      <w:r w:rsidRPr="00A51E76">
        <w:rPr>
          <w:sz w:val="16"/>
          <w:szCs w:val="16"/>
        </w:rPr>
        <w:br/>
      </w:r>
      <w:r w:rsidRPr="00A51E76">
        <w:rPr>
          <w:b/>
          <w:sz w:val="16"/>
          <w:szCs w:val="16"/>
        </w:rPr>
        <w:t xml:space="preserve">Kontakt: </w:t>
      </w:r>
      <w:r w:rsidRPr="00A51E76">
        <w:rPr>
          <w:sz w:val="16"/>
          <w:szCs w:val="16"/>
        </w:rPr>
        <w:t xml:space="preserve">Bankenfachverband, Stephan Moll, Leiter Markt und PR, Tel. 030 2462596-14, </w:t>
      </w:r>
      <w:hyperlink r:id="rId9" w:history="1">
        <w:r w:rsidRPr="0092623F">
          <w:rPr>
            <w:sz w:val="16"/>
            <w:szCs w:val="16"/>
          </w:rPr>
          <w:t>stephan.moll@bfach.de</w:t>
        </w:r>
      </w:hyperlink>
    </w:p>
    <w:p w:rsidR="0092623F" w:rsidRDefault="007740D8" w:rsidP="007740D8">
      <w:pPr>
        <w:tabs>
          <w:tab w:val="clear" w:pos="1239"/>
          <w:tab w:val="clear" w:pos="3686"/>
          <w:tab w:val="clear" w:pos="8845"/>
        </w:tabs>
        <w:spacing w:after="360" w:line="240" w:lineRule="exact"/>
      </w:pPr>
      <w:r>
        <w:br w:type="page"/>
      </w:r>
      <w:r w:rsidRPr="00A51E76">
        <w:rPr>
          <w:b/>
          <w:szCs w:val="22"/>
        </w:rPr>
        <w:lastRenderedPageBreak/>
        <w:t>Konsumkredit-Index 202</w:t>
      </w:r>
      <w:r>
        <w:rPr>
          <w:b/>
          <w:szCs w:val="22"/>
        </w:rPr>
        <w:t>2/2023</w:t>
      </w:r>
      <w:r w:rsidRPr="00A51E76">
        <w:rPr>
          <w:b/>
          <w:szCs w:val="22"/>
        </w:rPr>
        <w:br/>
      </w:r>
      <w:r w:rsidR="0092623F">
        <w:rPr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497205</wp:posOffset>
            </wp:positionV>
            <wp:extent cx="4858385" cy="48583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KI_2022_2023_BFACH_Infografi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485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76">
        <w:rPr>
          <w:szCs w:val="22"/>
        </w:rPr>
        <w:t>Prognose der Konsumkreditnutzung in Deutschland</w:t>
      </w:r>
    </w:p>
    <w:p w:rsidR="00FA6E51" w:rsidRPr="0092623F" w:rsidRDefault="00FA6E51" w:rsidP="007740D8">
      <w:pPr>
        <w:tabs>
          <w:tab w:val="clear" w:pos="1239"/>
          <w:tab w:val="clear" w:pos="3686"/>
          <w:tab w:val="clear" w:pos="8845"/>
        </w:tabs>
        <w:spacing w:after="360" w:line="240" w:lineRule="exact"/>
      </w:pPr>
    </w:p>
    <w:p w:rsidR="00FA6E51" w:rsidRDefault="00FA6E51" w:rsidP="007740D8">
      <w:pPr>
        <w:tabs>
          <w:tab w:val="clear" w:pos="1239"/>
          <w:tab w:val="clear" w:pos="3686"/>
          <w:tab w:val="clear" w:pos="8845"/>
        </w:tabs>
        <w:spacing w:after="360" w:line="240" w:lineRule="exact"/>
        <w:rPr>
          <w:szCs w:val="22"/>
        </w:rPr>
      </w:pPr>
    </w:p>
    <w:p w:rsidR="00FA6E51" w:rsidRDefault="00FA6E51" w:rsidP="007740D8">
      <w:pPr>
        <w:tabs>
          <w:tab w:val="clear" w:pos="1239"/>
          <w:tab w:val="clear" w:pos="3686"/>
          <w:tab w:val="clear" w:pos="8845"/>
        </w:tabs>
        <w:spacing w:after="360" w:line="240" w:lineRule="exact"/>
        <w:rPr>
          <w:szCs w:val="22"/>
        </w:rPr>
      </w:pPr>
    </w:p>
    <w:p w:rsidR="00FA6E51" w:rsidRDefault="00FA6E51" w:rsidP="007740D8">
      <w:pPr>
        <w:tabs>
          <w:tab w:val="clear" w:pos="1239"/>
          <w:tab w:val="clear" w:pos="3686"/>
          <w:tab w:val="clear" w:pos="8845"/>
        </w:tabs>
        <w:spacing w:after="360" w:line="240" w:lineRule="exact"/>
        <w:rPr>
          <w:szCs w:val="22"/>
        </w:rPr>
      </w:pPr>
    </w:p>
    <w:p w:rsidR="00FA6E51" w:rsidRDefault="00FA6E51" w:rsidP="007740D8">
      <w:pPr>
        <w:tabs>
          <w:tab w:val="clear" w:pos="1239"/>
          <w:tab w:val="clear" w:pos="3686"/>
          <w:tab w:val="clear" w:pos="8845"/>
        </w:tabs>
        <w:spacing w:after="360" w:line="240" w:lineRule="exact"/>
        <w:rPr>
          <w:szCs w:val="22"/>
        </w:rPr>
      </w:pPr>
    </w:p>
    <w:p w:rsidR="007740D8" w:rsidRDefault="007740D8" w:rsidP="00D171C9">
      <w:pPr>
        <w:pStyle w:val="Grundtext"/>
        <w:spacing w:after="360" w:line="240" w:lineRule="exact"/>
        <w:rPr>
          <w:b/>
          <w:sz w:val="16"/>
          <w:szCs w:val="16"/>
        </w:rPr>
      </w:pPr>
    </w:p>
    <w:p w:rsidR="00FA6E51" w:rsidRDefault="00FA6E51" w:rsidP="00D171C9">
      <w:pPr>
        <w:pStyle w:val="Grundtext"/>
        <w:spacing w:after="360" w:line="240" w:lineRule="exact"/>
        <w:rPr>
          <w:b/>
          <w:sz w:val="16"/>
          <w:szCs w:val="16"/>
        </w:rPr>
      </w:pPr>
    </w:p>
    <w:p w:rsidR="00FA6E51" w:rsidRDefault="00FA6E51" w:rsidP="00D171C9">
      <w:pPr>
        <w:pStyle w:val="Grundtext"/>
        <w:spacing w:after="360" w:line="240" w:lineRule="exact"/>
        <w:rPr>
          <w:noProof/>
          <w:szCs w:val="22"/>
        </w:rPr>
      </w:pPr>
    </w:p>
    <w:p w:rsidR="007735ED" w:rsidRDefault="007735ED" w:rsidP="00D171C9">
      <w:pPr>
        <w:pStyle w:val="Grundtext"/>
        <w:spacing w:after="360" w:line="240" w:lineRule="exact"/>
        <w:rPr>
          <w:b/>
          <w:sz w:val="16"/>
          <w:szCs w:val="16"/>
        </w:rPr>
      </w:pPr>
    </w:p>
    <w:p w:rsidR="007735ED" w:rsidRDefault="007735ED" w:rsidP="00D171C9">
      <w:pPr>
        <w:pStyle w:val="Grundtext"/>
        <w:spacing w:after="360" w:line="240" w:lineRule="exact"/>
        <w:rPr>
          <w:b/>
          <w:sz w:val="16"/>
          <w:szCs w:val="16"/>
        </w:rPr>
      </w:pPr>
    </w:p>
    <w:p w:rsidR="007735ED" w:rsidRDefault="007735ED" w:rsidP="00D171C9">
      <w:pPr>
        <w:pStyle w:val="Grundtext"/>
        <w:spacing w:after="360" w:line="240" w:lineRule="exact"/>
        <w:rPr>
          <w:b/>
          <w:sz w:val="16"/>
          <w:szCs w:val="16"/>
        </w:rPr>
      </w:pPr>
    </w:p>
    <w:p w:rsidR="007735ED" w:rsidRDefault="007735ED" w:rsidP="00D171C9">
      <w:pPr>
        <w:pStyle w:val="Grundtext"/>
        <w:spacing w:after="360" w:line="240" w:lineRule="exact"/>
        <w:rPr>
          <w:b/>
          <w:sz w:val="16"/>
          <w:szCs w:val="16"/>
        </w:rPr>
      </w:pPr>
    </w:p>
    <w:p w:rsidR="007735ED" w:rsidRDefault="007735ED" w:rsidP="00D171C9">
      <w:pPr>
        <w:pStyle w:val="Grundtext"/>
        <w:spacing w:after="360" w:line="240" w:lineRule="exact"/>
        <w:rPr>
          <w:b/>
          <w:sz w:val="16"/>
          <w:szCs w:val="16"/>
        </w:rPr>
      </w:pPr>
    </w:p>
    <w:p w:rsidR="0092623F" w:rsidRPr="007740D8" w:rsidRDefault="0092623F" w:rsidP="0092623F">
      <w:pPr>
        <w:pStyle w:val="Grundtext"/>
        <w:spacing w:after="360" w:line="240" w:lineRule="exact"/>
        <w:rPr>
          <w:b/>
          <w:sz w:val="18"/>
          <w:szCs w:val="18"/>
        </w:rPr>
      </w:pPr>
      <w:r w:rsidRPr="007A35F2">
        <w:rPr>
          <w:b/>
          <w:sz w:val="18"/>
          <w:szCs w:val="18"/>
        </w:rPr>
        <w:t xml:space="preserve">Der Bankenfachverband </w:t>
      </w:r>
      <w:r w:rsidRPr="007740D8">
        <w:rPr>
          <w:sz w:val="18"/>
          <w:szCs w:val="18"/>
        </w:rPr>
        <w:t>(BFACH)</w:t>
      </w:r>
      <w:r w:rsidRPr="007A35F2">
        <w:rPr>
          <w:b/>
          <w:sz w:val="18"/>
          <w:szCs w:val="18"/>
        </w:rPr>
        <w:t xml:space="preserve"> </w:t>
      </w:r>
      <w:r w:rsidRPr="007A35F2">
        <w:rPr>
          <w:sz w:val="18"/>
          <w:szCs w:val="18"/>
        </w:rPr>
        <w:t>vertritt die Interessen der Kreditbanken in Deutschland. Seine Mitglieder sind die Experten für die Finanzierung von Konsum- und Investitionsgütern wie Kraftfahrzeugen aller Art. Die Kreditbanken haben mehr als 170 Milliarden Euro an Verbraucher und Unternehmen ausgeliehen und fördern damit Wirtschaft und Konjunktur.</w:t>
      </w:r>
      <w:r w:rsidRPr="00A51E7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A51E76">
        <w:rPr>
          <w:b/>
          <w:sz w:val="18"/>
          <w:szCs w:val="18"/>
        </w:rPr>
        <w:t>Der Konsumkredit-Index</w:t>
      </w:r>
      <w:r w:rsidRPr="00A51E7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(KKI) </w:t>
      </w:r>
      <w:r w:rsidRPr="00A51E76">
        <w:rPr>
          <w:sz w:val="18"/>
          <w:szCs w:val="18"/>
        </w:rPr>
        <w:t xml:space="preserve">prognostiziert die private Kreditaufnahme in den kommenden zwölf Monaten. Dazu befragt Ipsos halbjährlich rund </w:t>
      </w:r>
      <w:r>
        <w:rPr>
          <w:sz w:val="18"/>
          <w:szCs w:val="18"/>
        </w:rPr>
        <w:t>1.800</w:t>
      </w:r>
      <w:r w:rsidRPr="00A51E76">
        <w:rPr>
          <w:sz w:val="18"/>
          <w:szCs w:val="18"/>
        </w:rPr>
        <w:t xml:space="preserve"> Haushalte über das Finanzmarktpanel der GfK. Ein Indexwert von 100 zeigt eine Entwicklung auf Vorjahresniveau, ab 125 steigt die Kreditnutzung signifikant.</w:t>
      </w:r>
      <w:r w:rsidRPr="007740D8">
        <w:rPr>
          <w:sz w:val="18"/>
          <w:szCs w:val="18"/>
        </w:rPr>
        <w:t xml:space="preserve"> Index</w:t>
      </w:r>
      <w:r w:rsidR="00120C8A">
        <w:rPr>
          <w:sz w:val="18"/>
          <w:szCs w:val="18"/>
        </w:rPr>
        <w:t>w</w:t>
      </w:r>
      <w:r w:rsidRPr="007740D8">
        <w:rPr>
          <w:sz w:val="18"/>
          <w:szCs w:val="18"/>
        </w:rPr>
        <w:t>erte unter 75 Punkten beschreiben einen signifikanten Rückgang.</w:t>
      </w:r>
      <w:r w:rsidR="00173F03">
        <w:rPr>
          <w:sz w:val="18"/>
          <w:szCs w:val="18"/>
        </w:rPr>
        <w:t xml:space="preserve"> </w:t>
      </w:r>
      <w:r w:rsidR="00173F03" w:rsidRPr="00173F03">
        <w:rPr>
          <w:sz w:val="18"/>
          <w:szCs w:val="18"/>
        </w:rPr>
        <w:t>Der aktuelle KKI wurde von Mitte Juni 2022 bis Mitte Juli 2022 erhoben.</w:t>
      </w:r>
    </w:p>
    <w:p w:rsidR="007735ED" w:rsidRPr="0092623F" w:rsidRDefault="0092623F" w:rsidP="0092623F">
      <w:pPr>
        <w:tabs>
          <w:tab w:val="clear" w:pos="1239"/>
          <w:tab w:val="clear" w:pos="3686"/>
          <w:tab w:val="clear" w:pos="8845"/>
        </w:tabs>
        <w:spacing w:after="360" w:line="240" w:lineRule="exact"/>
        <w:rPr>
          <w:sz w:val="18"/>
          <w:szCs w:val="18"/>
        </w:rPr>
      </w:pPr>
      <w:r w:rsidRPr="0092623F">
        <w:rPr>
          <w:sz w:val="18"/>
          <w:szCs w:val="18"/>
        </w:rPr>
        <w:t xml:space="preserve">Anlage zur Presseinformation des Bankenfachverbandes vom </w:t>
      </w:r>
      <w:r w:rsidR="0002276B" w:rsidRPr="0002276B">
        <w:rPr>
          <w:sz w:val="18"/>
          <w:szCs w:val="18"/>
        </w:rPr>
        <w:t>12</w:t>
      </w:r>
      <w:r w:rsidRPr="0002276B">
        <w:rPr>
          <w:sz w:val="18"/>
          <w:szCs w:val="18"/>
        </w:rPr>
        <w:t>.</w:t>
      </w:r>
      <w:r w:rsidRPr="0092623F">
        <w:rPr>
          <w:sz w:val="18"/>
          <w:szCs w:val="18"/>
        </w:rPr>
        <w:t xml:space="preserve"> September 2022</w:t>
      </w:r>
    </w:p>
    <w:sectPr w:rsidR="007735ED" w:rsidRPr="0092623F">
      <w:headerReference w:type="default" r:id="rId11"/>
      <w:footerReference w:type="default" r:id="rId12"/>
      <w:headerReference w:type="first" r:id="rId13"/>
      <w:pgSz w:w="11906" w:h="16838" w:code="9"/>
      <w:pgMar w:top="3402" w:right="1361" w:bottom="1701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C1" w:rsidRDefault="002943C1">
      <w:r>
        <w:separator/>
      </w:r>
    </w:p>
  </w:endnote>
  <w:endnote w:type="continuationSeparator" w:id="0">
    <w:p w:rsidR="002943C1" w:rsidRDefault="002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825A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C1" w:rsidRDefault="002943C1">
      <w:r>
        <w:separator/>
      </w:r>
    </w:p>
  </w:footnote>
  <w:footnote w:type="continuationSeparator" w:id="0">
    <w:p w:rsidR="002943C1" w:rsidRDefault="002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8752" behindDoc="0" locked="1" layoutInCell="1" allowOverlap="1" wp14:anchorId="32F01FC3" wp14:editId="40FF3A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424940"/>
          <wp:effectExtent l="0" t="0" r="0" b="3810"/>
          <wp:wrapNone/>
          <wp:docPr id="12" name="Bild 12" descr="briefbog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7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5A2" w:rsidRDefault="001B6762">
    <w:r>
      <w:rPr>
        <w:noProof/>
        <w:sz w:val="20"/>
      </w:rPr>
      <w:drawing>
        <wp:anchor distT="0" distB="0" distL="114300" distR="114300" simplePos="0" relativeHeight="251656704" behindDoc="0" locked="1" layoutInCell="1" allowOverlap="1" wp14:anchorId="2D3B070D" wp14:editId="4C8A58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34675"/>
          <wp:effectExtent l="0" t="0" r="0" b="9525"/>
          <wp:wrapNone/>
          <wp:docPr id="13" name="Bild 13" descr="Presse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e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1"/>
    <w:rsid w:val="0002276B"/>
    <w:rsid w:val="0007149B"/>
    <w:rsid w:val="0009102C"/>
    <w:rsid w:val="000C3C99"/>
    <w:rsid w:val="000D1BEC"/>
    <w:rsid w:val="000D4B9C"/>
    <w:rsid w:val="00104A27"/>
    <w:rsid w:val="00114227"/>
    <w:rsid w:val="00120C8A"/>
    <w:rsid w:val="0016197B"/>
    <w:rsid w:val="00173F03"/>
    <w:rsid w:val="001825A2"/>
    <w:rsid w:val="001A10C2"/>
    <w:rsid w:val="001B6762"/>
    <w:rsid w:val="001D7533"/>
    <w:rsid w:val="001F41FF"/>
    <w:rsid w:val="00272D13"/>
    <w:rsid w:val="00277A3B"/>
    <w:rsid w:val="002943C1"/>
    <w:rsid w:val="00294B11"/>
    <w:rsid w:val="00314A84"/>
    <w:rsid w:val="00346C7F"/>
    <w:rsid w:val="00384BD3"/>
    <w:rsid w:val="003932BC"/>
    <w:rsid w:val="003A1675"/>
    <w:rsid w:val="003C41AF"/>
    <w:rsid w:val="003E3A71"/>
    <w:rsid w:val="00405261"/>
    <w:rsid w:val="00423343"/>
    <w:rsid w:val="004354F4"/>
    <w:rsid w:val="00472BB4"/>
    <w:rsid w:val="00484071"/>
    <w:rsid w:val="004D2BAA"/>
    <w:rsid w:val="004F76EE"/>
    <w:rsid w:val="00525AC1"/>
    <w:rsid w:val="00587B6B"/>
    <w:rsid w:val="00594916"/>
    <w:rsid w:val="005E5D59"/>
    <w:rsid w:val="00603C18"/>
    <w:rsid w:val="00605B11"/>
    <w:rsid w:val="00607FD3"/>
    <w:rsid w:val="006178EB"/>
    <w:rsid w:val="00667A9A"/>
    <w:rsid w:val="006803FF"/>
    <w:rsid w:val="006A62CE"/>
    <w:rsid w:val="006C180D"/>
    <w:rsid w:val="006C6114"/>
    <w:rsid w:val="0071716D"/>
    <w:rsid w:val="00771BD5"/>
    <w:rsid w:val="007735ED"/>
    <w:rsid w:val="007740D8"/>
    <w:rsid w:val="00787795"/>
    <w:rsid w:val="007A35F1"/>
    <w:rsid w:val="007A35F2"/>
    <w:rsid w:val="007B6AA1"/>
    <w:rsid w:val="007C496F"/>
    <w:rsid w:val="007D50EC"/>
    <w:rsid w:val="00802C0C"/>
    <w:rsid w:val="00815B37"/>
    <w:rsid w:val="00826CEA"/>
    <w:rsid w:val="00843C04"/>
    <w:rsid w:val="008476B3"/>
    <w:rsid w:val="00853059"/>
    <w:rsid w:val="00854905"/>
    <w:rsid w:val="00856D2C"/>
    <w:rsid w:val="00884CBA"/>
    <w:rsid w:val="009216AE"/>
    <w:rsid w:val="0092623F"/>
    <w:rsid w:val="009A47F0"/>
    <w:rsid w:val="009F272A"/>
    <w:rsid w:val="00A040E4"/>
    <w:rsid w:val="00A10B11"/>
    <w:rsid w:val="00A47F5D"/>
    <w:rsid w:val="00A62A4C"/>
    <w:rsid w:val="00AA5A54"/>
    <w:rsid w:val="00AE27F3"/>
    <w:rsid w:val="00AE3BCB"/>
    <w:rsid w:val="00B84338"/>
    <w:rsid w:val="00B96E8F"/>
    <w:rsid w:val="00BF7408"/>
    <w:rsid w:val="00C2006E"/>
    <w:rsid w:val="00C31A1A"/>
    <w:rsid w:val="00CE6E1F"/>
    <w:rsid w:val="00CF20D9"/>
    <w:rsid w:val="00CF23A3"/>
    <w:rsid w:val="00D171C9"/>
    <w:rsid w:val="00D55FC3"/>
    <w:rsid w:val="00D71B3E"/>
    <w:rsid w:val="00D808A1"/>
    <w:rsid w:val="00D860EF"/>
    <w:rsid w:val="00DC1D5A"/>
    <w:rsid w:val="00DF1006"/>
    <w:rsid w:val="00E04FD9"/>
    <w:rsid w:val="00E0642A"/>
    <w:rsid w:val="00E36BFA"/>
    <w:rsid w:val="00E63AD2"/>
    <w:rsid w:val="00E800C4"/>
    <w:rsid w:val="00EB2F09"/>
    <w:rsid w:val="00ED0A11"/>
    <w:rsid w:val="00F3533E"/>
    <w:rsid w:val="00F71441"/>
    <w:rsid w:val="00F77C49"/>
    <w:rsid w:val="00F8701A"/>
    <w:rsid w:val="00FA279B"/>
    <w:rsid w:val="00F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E4A1F3CE-2972-4F03-B33C-DFAE105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sid w:val="00D860EF"/>
    <w:rPr>
      <w:color w:val="0000FF"/>
      <w:u w:val="single"/>
    </w:rPr>
  </w:style>
  <w:style w:type="paragraph" w:styleId="Kopfzeile">
    <w:name w:val="header"/>
    <w:basedOn w:val="Standard"/>
    <w:link w:val="Kopf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71C9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71C9"/>
    <w:rPr>
      <w:rFonts w:ascii="Univers" w:hAnsi="Univers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bfach.de/media/file/48611.KKI_2022-2023_BFACH_Studie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sl.bfach.de/media/file/48631.KKI_2022_2023_BFACH_Infografik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tephan.moll@bfach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erband\01.%20%20Verwaltung\04_Handbuch%20bfach\07_Vorlagen\08_Markt%20und%20PR\Presse_Presseinformation_Entwurf.dotx" TargetMode="External"/></Relationships>
</file>

<file path=word/theme/theme1.xml><?xml version="1.0" encoding="utf-8"?>
<a:theme xmlns:a="http://schemas.openxmlformats.org/drawingml/2006/main" name="Larissa">
  <a:themeElements>
    <a:clrScheme name="BFACH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0000"/>
      </a:accent1>
      <a:accent2>
        <a:srgbClr val="004E9E"/>
      </a:accent2>
      <a:accent3>
        <a:srgbClr val="AB0059"/>
      </a:accent3>
      <a:accent4>
        <a:srgbClr val="808080"/>
      </a:accent4>
      <a:accent5>
        <a:srgbClr val="FF0000"/>
      </a:accent5>
      <a:accent6>
        <a:srgbClr val="0000FF"/>
      </a:accent6>
      <a:hlink>
        <a:srgbClr val="004E9E"/>
      </a:hlink>
      <a:folHlink>
        <a:srgbClr val="AB0059"/>
      </a:folHlink>
    </a:clrScheme>
    <a:fontScheme name="BFACH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Presse_Presseinformation_Entwurf.dotx</Template>
  <TotalTime>0</TotalTime>
  <Pages>2</Pages>
  <Words>368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3170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mailto:stephan.moll@bfach.de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Elke Haag</dc:creator>
  <cp:lastModifiedBy>Nermana Ljubuncic</cp:lastModifiedBy>
  <cp:revision>32</cp:revision>
  <cp:lastPrinted>2006-06-06T20:58:00Z</cp:lastPrinted>
  <dcterms:created xsi:type="dcterms:W3CDTF">2021-06-29T14:37:00Z</dcterms:created>
  <dcterms:modified xsi:type="dcterms:W3CDTF">2022-09-09T10:02:00Z</dcterms:modified>
</cp:coreProperties>
</file>