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85" w:rsidRPr="00FC0485" w:rsidRDefault="00A409B6" w:rsidP="00FC0485">
      <w:pPr>
        <w:pStyle w:val="berschrift1"/>
        <w:keepNext w:val="0"/>
        <w:suppressAutoHyphens/>
      </w:pPr>
      <w:r>
        <w:t>Marktausblick 2022 bis 2024</w:t>
      </w:r>
      <w:r w:rsidR="00FC0485">
        <w:t xml:space="preserve">: </w:t>
      </w:r>
      <w:r w:rsidR="00A26D97">
        <w:t>Finanzierungen ermöglichen Unternehmen</w:t>
      </w:r>
      <w:r w:rsidR="00FC0485" w:rsidRPr="00FC0485">
        <w:t xml:space="preserve"> </w:t>
      </w:r>
      <w:r w:rsidR="00FC0485">
        <w:t>Investitionen</w:t>
      </w:r>
      <w:r w:rsidRPr="00A409B6">
        <w:t xml:space="preserve"> </w:t>
      </w:r>
      <w:r>
        <w:t>in Nachhaltigkeit und Digitalisierung</w:t>
      </w:r>
      <w:r w:rsidR="00EB7EEE">
        <w:t xml:space="preserve"> </w:t>
      </w:r>
    </w:p>
    <w:p w:rsidR="003E2A22" w:rsidRPr="003E2A22" w:rsidRDefault="003E2A22" w:rsidP="00B401D0">
      <w:pPr>
        <w:pStyle w:val="Grundtext"/>
        <w:suppressAutoHyphens/>
        <w:spacing w:after="360"/>
      </w:pPr>
      <w:r w:rsidRPr="003E2A22">
        <w:t>Berlin</w:t>
      </w:r>
      <w:r w:rsidR="00F71441" w:rsidRPr="003E2A22">
        <w:t xml:space="preserve">, </w:t>
      </w:r>
      <w:r w:rsidR="00291D64">
        <w:t>21</w:t>
      </w:r>
      <w:r w:rsidR="00F71441" w:rsidRPr="003E2A22">
        <w:t xml:space="preserve">. </w:t>
      </w:r>
      <w:r w:rsidRPr="003E2A22">
        <w:t>Dezember 2022</w:t>
      </w:r>
      <w:r w:rsidR="00F71441" w:rsidRPr="003E2A22">
        <w:t xml:space="preserve">. </w:t>
      </w:r>
      <w:r w:rsidR="00FC0485">
        <w:t xml:space="preserve">Insgesamt wollen rund 60 Prozent der Unternehmen für </w:t>
      </w:r>
      <w:r w:rsidR="00CF244F">
        <w:t xml:space="preserve">Investitionen, die sie </w:t>
      </w:r>
      <w:r w:rsidR="00A26D97">
        <w:t xml:space="preserve">in den kommenden zwei Jahren </w:t>
      </w:r>
      <w:r w:rsidR="00A409B6">
        <w:t>planen</w:t>
      </w:r>
      <w:r w:rsidR="00CF244F">
        <w:t>,</w:t>
      </w:r>
      <w:r w:rsidR="00FC0485">
        <w:t xml:space="preserve"> Finanzierungen nutzen. </w:t>
      </w:r>
      <w:r w:rsidR="001B3BEA">
        <w:t>Bei digitalen und nachhaltigen Investitionsobjekten ist dieser Anteil noch höher.</w:t>
      </w:r>
      <w:r w:rsidR="004C3951">
        <w:t xml:space="preserve"> So wollen 7</w:t>
      </w:r>
      <w:r w:rsidR="0017320F">
        <w:t>1</w:t>
      </w:r>
      <w:r w:rsidR="004C3951">
        <w:t xml:space="preserve"> Prozent der Unternehmen, die digitale Investitionen planen</w:t>
      </w:r>
      <w:r w:rsidR="00884867">
        <w:t>,</w:t>
      </w:r>
      <w:r w:rsidR="004C3951">
        <w:t xml:space="preserve"> und sämtliche Unternehmen, die nachhaltige Investitionen planen, hierfür Finanzierungen verwenden.</w:t>
      </w:r>
      <w:r w:rsidR="001B3BEA">
        <w:t xml:space="preserve"> </w:t>
      </w:r>
      <w:r w:rsidR="00A26D97">
        <w:t>Zu diesem Ergebnis kommt eine Untersuchung der GIM Marktforschung im Auftrag des Bankenfachverbandes. Die Top drei der aktuell finanzierten Objekte sind PKW, IT-Ausstattung bzw. Software sowie Produktionsmaschinen.</w:t>
      </w:r>
      <w:r w:rsidR="00C24D10">
        <w:t xml:space="preserve"> </w:t>
      </w:r>
      <w:r w:rsidR="00CF244F">
        <w:t>„Finanzierungen haben eine zentrale Funktion bei der Transformation zu</w:t>
      </w:r>
      <w:r w:rsidR="00550FAF">
        <w:t xml:space="preserve"> einer</w:t>
      </w:r>
      <w:r w:rsidR="00CF244F">
        <w:t xml:space="preserve"> nachhaltigen </w:t>
      </w:r>
      <w:r w:rsidR="00550FAF">
        <w:t>Ökonomie und digitalen Wirtschaft“, sagt Jens Loa</w:t>
      </w:r>
      <w:r w:rsidR="00A409B6">
        <w:t>,</w:t>
      </w:r>
      <w:r w:rsidR="00550FAF">
        <w:t xml:space="preserve"> Geschäftsführer des Bankenfachverbandes. </w:t>
      </w:r>
    </w:p>
    <w:p w:rsidR="00F71441" w:rsidRDefault="001B3BEA" w:rsidP="00B401D0">
      <w:pPr>
        <w:pStyle w:val="Grundtext"/>
        <w:suppressAutoHyphens/>
        <w:spacing w:after="360"/>
      </w:pPr>
      <w:r>
        <w:rPr>
          <w:rFonts w:cs="Arial"/>
          <w:b/>
          <w:bCs/>
          <w:iCs/>
          <w:szCs w:val="28"/>
        </w:rPr>
        <w:t>Investitionen in nachhaltige Güter</w:t>
      </w:r>
      <w:r>
        <w:rPr>
          <w:rFonts w:cs="Arial"/>
          <w:b/>
          <w:bCs/>
          <w:iCs/>
          <w:szCs w:val="28"/>
        </w:rPr>
        <w:br/>
      </w:r>
      <w:r>
        <w:t xml:space="preserve">Bis 2024 planen 39 Prozent der Unternehmen </w:t>
      </w:r>
      <w:r w:rsidR="00043F08">
        <w:t>Investitionen in</w:t>
      </w:r>
      <w:r>
        <w:t xml:space="preserve"> Elektro-Pkw, </w:t>
      </w:r>
      <w:r w:rsidR="006E4F7E">
        <w:t>29</w:t>
      </w:r>
      <w:r w:rsidR="00D4325B">
        <w:t xml:space="preserve"> Prozent wollen Solaranlagen und 19 Prozent Wärmepumpen</w:t>
      </w:r>
      <w:r w:rsidR="00A409B6">
        <w:t xml:space="preserve"> anschaffen</w:t>
      </w:r>
      <w:r w:rsidR="00D4325B">
        <w:t xml:space="preserve">. Von diesen Investitionsgütern </w:t>
      </w:r>
      <w:r>
        <w:t xml:space="preserve">soll </w:t>
      </w:r>
      <w:r w:rsidR="00D4325B">
        <w:t xml:space="preserve">jeweils </w:t>
      </w:r>
      <w:r>
        <w:t>mindestens die Hälfte finanziert werden.</w:t>
      </w:r>
      <w:r w:rsidR="00A409B6">
        <w:t xml:space="preserve"> Bei </w:t>
      </w:r>
      <w:r w:rsidR="00622848">
        <w:t>Firmen</w:t>
      </w:r>
      <w:r w:rsidR="00A409B6">
        <w:t xml:space="preserve"> mittlerer Größe ist der geplante Finanzierungsanteil </w:t>
      </w:r>
      <w:r w:rsidR="00D059FC">
        <w:t xml:space="preserve">dabei </w:t>
      </w:r>
      <w:r w:rsidR="00A409B6">
        <w:t>überdurchschnittlich hoch. Jedes dritte Unternehmen plant zusätzlich</w:t>
      </w:r>
      <w:r w:rsidR="002C3EFE">
        <w:t>e</w:t>
      </w:r>
      <w:r w:rsidR="00A409B6">
        <w:t xml:space="preserve"> </w:t>
      </w:r>
      <w:r w:rsidR="00EC3387">
        <w:t>Anschaffungen</w:t>
      </w:r>
      <w:r w:rsidR="00A409B6">
        <w:t xml:space="preserve"> im Bereich Nachhaltigkeit.</w:t>
      </w:r>
      <w:r w:rsidR="00EC3387">
        <w:t xml:space="preserve"> Mindestens zehn Prozent ihres gesamten Investitionsvolumen</w:t>
      </w:r>
      <w:r w:rsidR="0038308B">
        <w:t>s</w:t>
      </w:r>
      <w:r w:rsidR="00EC3387">
        <w:t xml:space="preserve"> der kommenden beiden Jahre sehen 37 Prozent aller Unternehmen für nachhaltige Investitionen vor. </w:t>
      </w:r>
      <w:r w:rsidR="002C3EFE">
        <w:t>Spitzenreiter sind hierbei das verarbeitende Gewerbe und der Dienstleistungssektor.</w:t>
      </w:r>
    </w:p>
    <w:p w:rsidR="00B401D0" w:rsidRPr="00B401D0" w:rsidRDefault="006329E1" w:rsidP="00B401D0">
      <w:pPr>
        <w:pStyle w:val="Grundtext"/>
        <w:suppressAutoHyphens/>
        <w:spacing w:after="360"/>
      </w:pPr>
      <w:r w:rsidRPr="006329E1">
        <w:rPr>
          <w:b/>
        </w:rPr>
        <w:t>Digitalisierungsinvestitionen</w:t>
      </w:r>
      <w:r w:rsidRPr="006329E1">
        <w:rPr>
          <w:b/>
        </w:rPr>
        <w:br/>
      </w:r>
      <w:r w:rsidRPr="006329E1">
        <w:t>Sechs von zehn Unternehmen</w:t>
      </w:r>
      <w:r>
        <w:t xml:space="preserve"> </w:t>
      </w:r>
      <w:r w:rsidR="00EB7EEE">
        <w:t>verfüg</w:t>
      </w:r>
      <w:r w:rsidR="002C3EFE">
        <w:t>en</w:t>
      </w:r>
      <w:r w:rsidR="00EB7EEE">
        <w:t xml:space="preserve"> über</w:t>
      </w:r>
      <w:r>
        <w:t xml:space="preserve"> eine klare Digitalisierungsstrategi</w:t>
      </w:r>
      <w:r w:rsidR="00EB7EEE">
        <w:t>e.</w:t>
      </w:r>
      <w:r>
        <w:t xml:space="preserve"> </w:t>
      </w:r>
      <w:r w:rsidR="006D2DA3">
        <w:t>Dabei</w:t>
      </w:r>
      <w:r>
        <w:t xml:space="preserve"> hat ein Viertel aller Firmen </w:t>
      </w:r>
      <w:r w:rsidR="002C3EFE">
        <w:t>ihre</w:t>
      </w:r>
      <w:r>
        <w:t xml:space="preserve"> strategisch relevanten Prozesse bereits vollständig digitalisiert. Lediglich 3</w:t>
      </w:r>
      <w:r w:rsidR="00E96663">
        <w:t>6</w:t>
      </w:r>
      <w:r>
        <w:t xml:space="preserve"> Prozent planen bis </w:t>
      </w:r>
      <w:r w:rsidR="00EB7EEE">
        <w:t xml:space="preserve">zum Jahr </w:t>
      </w:r>
      <w:r>
        <w:t xml:space="preserve">2024 keine </w:t>
      </w:r>
      <w:r w:rsidR="00B401D0">
        <w:t xml:space="preserve">Investitionen in </w:t>
      </w:r>
      <w:r>
        <w:t>Digitalisierungs</w:t>
      </w:r>
      <w:r w:rsidR="00B401D0">
        <w:t>projekte</w:t>
      </w:r>
      <w:r>
        <w:t xml:space="preserve">. </w:t>
      </w:r>
      <w:r w:rsidR="00EB7EEE">
        <w:t xml:space="preserve">Knapp jede fünfte Firma </w:t>
      </w:r>
      <w:r w:rsidR="00A13805">
        <w:t>möchte</w:t>
      </w:r>
      <w:r w:rsidR="00EB7EEE">
        <w:t xml:space="preserve"> zur Anschaffung bzw. Nutzung von IT-Ausstattung bzw. Software Finanzierungen </w:t>
      </w:r>
      <w:r w:rsidR="002C3EFE">
        <w:t>verwenden</w:t>
      </w:r>
      <w:r w:rsidR="00EB7EEE">
        <w:t xml:space="preserve">. Während bei digitalen Projekten der geplante Finanzierungsanteil jeweils nur halb so groß ist wie </w:t>
      </w:r>
      <w:r w:rsidR="00EB7EEE">
        <w:lastRenderedPageBreak/>
        <w:t xml:space="preserve">der vorgesehene Eigenmittelanteil, </w:t>
      </w:r>
      <w:r w:rsidR="004E65B2">
        <w:t>haben Finanzierungen</w:t>
      </w:r>
      <w:r w:rsidR="00EB7EEE">
        <w:t xml:space="preserve"> </w:t>
      </w:r>
      <w:r w:rsidR="004E65B2">
        <w:t xml:space="preserve">gerade </w:t>
      </w:r>
      <w:r w:rsidR="00EB7EEE">
        <w:t xml:space="preserve">bei nachhaltigen </w:t>
      </w:r>
      <w:r w:rsidR="00A65A66">
        <w:t>Investitionen</w:t>
      </w:r>
      <w:r w:rsidR="00EB7EEE">
        <w:t xml:space="preserve"> </w:t>
      </w:r>
      <w:r w:rsidR="002C3EFE">
        <w:t xml:space="preserve">einen </w:t>
      </w:r>
      <w:r w:rsidR="004E65B2">
        <w:t>noch höheren</w:t>
      </w:r>
      <w:r w:rsidR="002C3EFE">
        <w:t xml:space="preserve"> Stellenwert für die Unternehmen.</w:t>
      </w:r>
      <w:r w:rsidR="004E65B2">
        <w:t xml:space="preserve"> </w:t>
      </w:r>
    </w:p>
    <w:p w:rsidR="001D7533" w:rsidRPr="002C3EFE" w:rsidRDefault="003A1675" w:rsidP="002C3EFE">
      <w:pPr>
        <w:spacing w:after="360" w:line="240" w:lineRule="exact"/>
        <w:rPr>
          <w:sz w:val="18"/>
          <w:szCs w:val="18"/>
        </w:rPr>
      </w:pPr>
      <w:r w:rsidRPr="003A1675">
        <w:rPr>
          <w:b/>
          <w:sz w:val="18"/>
          <w:szCs w:val="18"/>
        </w:rPr>
        <w:t xml:space="preserve">Der Bankenfachverband (BFACH) </w:t>
      </w:r>
      <w:r w:rsidRPr="003A1675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</w:t>
      </w:r>
      <w:r w:rsidR="003E2A22">
        <w:rPr>
          <w:sz w:val="18"/>
          <w:szCs w:val="18"/>
        </w:rPr>
        <w:t>7</w:t>
      </w:r>
      <w:r w:rsidRPr="003A1675">
        <w:rPr>
          <w:sz w:val="18"/>
          <w:szCs w:val="18"/>
        </w:rPr>
        <w:t>0 Milliarden Euro an Verbraucher und Unternehmen ausgeliehen und fördern damit Wirtschaft und Konjunktur.</w:t>
      </w:r>
      <w:r w:rsidR="003E2A22">
        <w:rPr>
          <w:sz w:val="18"/>
          <w:szCs w:val="18"/>
        </w:rPr>
        <w:t xml:space="preserve"> </w:t>
      </w:r>
      <w:r w:rsidR="009E0EE0">
        <w:rPr>
          <w:sz w:val="18"/>
          <w:szCs w:val="18"/>
        </w:rPr>
        <w:br/>
      </w:r>
      <w:r w:rsidR="003E2A22">
        <w:rPr>
          <w:sz w:val="18"/>
          <w:szCs w:val="18"/>
        </w:rPr>
        <w:br/>
      </w:r>
      <w:r w:rsidR="003E2A22" w:rsidRPr="00AD0147">
        <w:rPr>
          <w:b/>
          <w:sz w:val="18"/>
          <w:szCs w:val="18"/>
        </w:rPr>
        <w:t xml:space="preserve">Die Marktstudie zur </w:t>
      </w:r>
      <w:r w:rsidR="003E2A22">
        <w:rPr>
          <w:b/>
          <w:sz w:val="18"/>
          <w:szCs w:val="18"/>
        </w:rPr>
        <w:t>Investitionsfinanzierung</w:t>
      </w:r>
      <w:r w:rsidR="003E2A22" w:rsidRPr="00AD0147">
        <w:rPr>
          <w:sz w:val="18"/>
          <w:szCs w:val="18"/>
        </w:rPr>
        <w:t xml:space="preserve"> </w:t>
      </w:r>
      <w:r w:rsidR="003E2A22">
        <w:rPr>
          <w:sz w:val="18"/>
          <w:szCs w:val="18"/>
        </w:rPr>
        <w:t>hat die Gesellschaft für innovative Marktforschung (GIM) im Auftrag des</w:t>
      </w:r>
      <w:r w:rsidR="003E2A22" w:rsidRPr="00AD0147">
        <w:rPr>
          <w:sz w:val="18"/>
          <w:szCs w:val="18"/>
        </w:rPr>
        <w:t xml:space="preserve"> BFACH durch</w:t>
      </w:r>
      <w:r w:rsidR="003E2A22">
        <w:rPr>
          <w:sz w:val="18"/>
          <w:szCs w:val="18"/>
        </w:rPr>
        <w:t>geführt</w:t>
      </w:r>
      <w:r w:rsidR="003E2A22" w:rsidRPr="00AD0147">
        <w:rPr>
          <w:sz w:val="18"/>
          <w:szCs w:val="18"/>
        </w:rPr>
        <w:t xml:space="preserve">. Dazu </w:t>
      </w:r>
      <w:r w:rsidR="003E2A22">
        <w:rPr>
          <w:sz w:val="18"/>
          <w:szCs w:val="18"/>
        </w:rPr>
        <w:t>hat die GIM vom 4. Juli bis 9. August 2022 im Zuge einer repräsentativen Umfrage 300 Unternehmen</w:t>
      </w:r>
      <w:r w:rsidR="003E2A22" w:rsidRPr="00AD0147">
        <w:rPr>
          <w:sz w:val="18"/>
          <w:szCs w:val="18"/>
        </w:rPr>
        <w:t xml:space="preserve"> nach ihren Finanzierungsgewohnheiten und -absichten</w:t>
      </w:r>
      <w:r w:rsidR="003E2A22">
        <w:rPr>
          <w:sz w:val="18"/>
          <w:szCs w:val="18"/>
        </w:rPr>
        <w:t xml:space="preserve"> </w:t>
      </w:r>
      <w:r w:rsidR="00A26D97">
        <w:rPr>
          <w:sz w:val="18"/>
          <w:szCs w:val="18"/>
        </w:rPr>
        <w:t xml:space="preserve">mit dem besonderen Fokus auf Digitalisierung und Nachhaltigkeit </w:t>
      </w:r>
      <w:r w:rsidR="003E2A22">
        <w:rPr>
          <w:sz w:val="18"/>
          <w:szCs w:val="18"/>
        </w:rPr>
        <w:t>befragt</w:t>
      </w:r>
      <w:r w:rsidR="003E2A22" w:rsidRPr="00AD0147">
        <w:rPr>
          <w:sz w:val="18"/>
          <w:szCs w:val="18"/>
        </w:rPr>
        <w:t xml:space="preserve">. </w:t>
      </w:r>
      <w:r w:rsidR="002C3EFE">
        <w:rPr>
          <w:sz w:val="18"/>
          <w:szCs w:val="18"/>
        </w:rPr>
        <w:br/>
      </w:r>
      <w:r w:rsidR="00314A84">
        <w:rPr>
          <w:b/>
          <w:sz w:val="18"/>
          <w:szCs w:val="18"/>
        </w:rPr>
        <w:br/>
      </w:r>
      <w:r w:rsidR="00D171C9" w:rsidRPr="00F71441">
        <w:rPr>
          <w:b/>
          <w:sz w:val="16"/>
          <w:szCs w:val="16"/>
        </w:rPr>
        <w:t>Anlagen</w:t>
      </w:r>
      <w:r w:rsidR="00F71441" w:rsidRPr="00F71441">
        <w:rPr>
          <w:sz w:val="16"/>
          <w:szCs w:val="16"/>
        </w:rPr>
        <w:t>:</w:t>
      </w:r>
      <w:r w:rsidR="00CA7C66">
        <w:rPr>
          <w:sz w:val="16"/>
          <w:szCs w:val="16"/>
        </w:rPr>
        <w:t xml:space="preserve"> Marktstudie Investitionsfinanzierung 2022</w:t>
      </w:r>
      <w:r w:rsidR="00D171C9" w:rsidRPr="00F71441">
        <w:rPr>
          <w:sz w:val="16"/>
          <w:szCs w:val="16"/>
        </w:rPr>
        <w:br/>
      </w:r>
      <w:r w:rsidR="00D171C9" w:rsidRPr="00F71441">
        <w:rPr>
          <w:b/>
          <w:sz w:val="16"/>
          <w:szCs w:val="16"/>
        </w:rPr>
        <w:t>Textfassung</w:t>
      </w:r>
      <w:r w:rsidR="00D171C9" w:rsidRPr="00F71441">
        <w:rPr>
          <w:sz w:val="16"/>
          <w:szCs w:val="16"/>
        </w:rPr>
        <w:t xml:space="preserve">: www.bfach.de / Presse / </w:t>
      </w:r>
      <w:r w:rsidR="00D437EA">
        <w:rPr>
          <w:sz w:val="16"/>
          <w:szCs w:val="16"/>
        </w:rPr>
        <w:t>21</w:t>
      </w:r>
      <w:r w:rsidR="0037336E">
        <w:rPr>
          <w:sz w:val="16"/>
          <w:szCs w:val="16"/>
        </w:rPr>
        <w:t>.</w:t>
      </w:r>
      <w:r w:rsidR="003E2A22">
        <w:rPr>
          <w:sz w:val="16"/>
          <w:szCs w:val="16"/>
        </w:rPr>
        <w:t>12</w:t>
      </w:r>
      <w:r w:rsidR="00F71441">
        <w:rPr>
          <w:sz w:val="16"/>
          <w:szCs w:val="16"/>
        </w:rPr>
        <w:t>.</w:t>
      </w:r>
      <w:r w:rsidR="00A47F5D" w:rsidRPr="00F71441">
        <w:rPr>
          <w:sz w:val="16"/>
          <w:szCs w:val="16"/>
        </w:rPr>
        <w:t>2</w:t>
      </w:r>
      <w:r w:rsidR="00826CEA">
        <w:rPr>
          <w:sz w:val="16"/>
          <w:szCs w:val="16"/>
        </w:rPr>
        <w:t>2</w:t>
      </w:r>
      <w:bookmarkStart w:id="0" w:name="_GoBack"/>
      <w:bookmarkEnd w:id="0"/>
      <w:r w:rsidR="00D171C9" w:rsidRPr="00F71441">
        <w:rPr>
          <w:sz w:val="16"/>
          <w:szCs w:val="16"/>
        </w:rPr>
        <w:br/>
      </w:r>
      <w:r w:rsidR="00D171C9" w:rsidRPr="00F71441">
        <w:rPr>
          <w:b/>
          <w:sz w:val="16"/>
          <w:szCs w:val="16"/>
        </w:rPr>
        <w:t xml:space="preserve">Kontakt: </w:t>
      </w:r>
      <w:r w:rsidR="00D171C9" w:rsidRPr="00F71441">
        <w:rPr>
          <w:sz w:val="16"/>
          <w:szCs w:val="16"/>
        </w:rPr>
        <w:t xml:space="preserve">Bankenfachverband, Stephan Moll, Leiter Markt und PR, Tel. 030 2462596-14, </w:t>
      </w:r>
      <w:hyperlink r:id="rId7" w:history="1">
        <w:r w:rsidR="00603C18" w:rsidRPr="00291D64">
          <w:rPr>
            <w:rStyle w:val="Hyperlink"/>
            <w:color w:val="004E9E" w:themeColor="accent1"/>
            <w:sz w:val="16"/>
            <w:szCs w:val="16"/>
          </w:rPr>
          <w:t>stephan.moll@bfach.de</w:t>
        </w:r>
      </w:hyperlink>
    </w:p>
    <w:sectPr w:rsidR="001D7533" w:rsidRPr="002C3EFE">
      <w:headerReference w:type="default" r:id="rId8"/>
      <w:footerReference w:type="default" r:id="rId9"/>
      <w:headerReference w:type="first" r:id="rId10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43F08"/>
    <w:rsid w:val="0007149B"/>
    <w:rsid w:val="00073E77"/>
    <w:rsid w:val="0009102C"/>
    <w:rsid w:val="000D4B9C"/>
    <w:rsid w:val="000E7B62"/>
    <w:rsid w:val="00114227"/>
    <w:rsid w:val="0016197B"/>
    <w:rsid w:val="0017320F"/>
    <w:rsid w:val="001825A2"/>
    <w:rsid w:val="001A10C2"/>
    <w:rsid w:val="001B3BEA"/>
    <w:rsid w:val="001B6762"/>
    <w:rsid w:val="001D7533"/>
    <w:rsid w:val="001F41FF"/>
    <w:rsid w:val="00272D13"/>
    <w:rsid w:val="00277A3B"/>
    <w:rsid w:val="00291D64"/>
    <w:rsid w:val="002943C1"/>
    <w:rsid w:val="002C3EFE"/>
    <w:rsid w:val="00314A84"/>
    <w:rsid w:val="0037336E"/>
    <w:rsid w:val="0038308B"/>
    <w:rsid w:val="00384BD3"/>
    <w:rsid w:val="003932BC"/>
    <w:rsid w:val="003A1675"/>
    <w:rsid w:val="003C41AF"/>
    <w:rsid w:val="003E2A22"/>
    <w:rsid w:val="003E3A71"/>
    <w:rsid w:val="00405261"/>
    <w:rsid w:val="00423343"/>
    <w:rsid w:val="004354F4"/>
    <w:rsid w:val="00472BB4"/>
    <w:rsid w:val="004C3951"/>
    <w:rsid w:val="004E65B2"/>
    <w:rsid w:val="004F76EE"/>
    <w:rsid w:val="005247B4"/>
    <w:rsid w:val="00525AC1"/>
    <w:rsid w:val="00542C00"/>
    <w:rsid w:val="00550FAF"/>
    <w:rsid w:val="00587B6B"/>
    <w:rsid w:val="00594916"/>
    <w:rsid w:val="005E5D59"/>
    <w:rsid w:val="00603C18"/>
    <w:rsid w:val="00607FD3"/>
    <w:rsid w:val="00622848"/>
    <w:rsid w:val="00627DCA"/>
    <w:rsid w:val="006329E1"/>
    <w:rsid w:val="006803FF"/>
    <w:rsid w:val="006C180D"/>
    <w:rsid w:val="006C6114"/>
    <w:rsid w:val="006D2DA3"/>
    <w:rsid w:val="006E4F7E"/>
    <w:rsid w:val="0071716D"/>
    <w:rsid w:val="00771BD5"/>
    <w:rsid w:val="00787795"/>
    <w:rsid w:val="007A35F1"/>
    <w:rsid w:val="007B6AA1"/>
    <w:rsid w:val="007C496F"/>
    <w:rsid w:val="00803D33"/>
    <w:rsid w:val="00815B37"/>
    <w:rsid w:val="00826CEA"/>
    <w:rsid w:val="00843C04"/>
    <w:rsid w:val="00856D2C"/>
    <w:rsid w:val="00884867"/>
    <w:rsid w:val="00884CBA"/>
    <w:rsid w:val="009216AE"/>
    <w:rsid w:val="009A47F0"/>
    <w:rsid w:val="009E0EE0"/>
    <w:rsid w:val="00A040E4"/>
    <w:rsid w:val="00A10B11"/>
    <w:rsid w:val="00A13805"/>
    <w:rsid w:val="00A26D97"/>
    <w:rsid w:val="00A409B6"/>
    <w:rsid w:val="00A47F5D"/>
    <w:rsid w:val="00A62A4C"/>
    <w:rsid w:val="00A65A66"/>
    <w:rsid w:val="00AA5A54"/>
    <w:rsid w:val="00AE27F3"/>
    <w:rsid w:val="00AE2D4A"/>
    <w:rsid w:val="00AE3BCB"/>
    <w:rsid w:val="00B401D0"/>
    <w:rsid w:val="00B96E8F"/>
    <w:rsid w:val="00BF7408"/>
    <w:rsid w:val="00C24D10"/>
    <w:rsid w:val="00C31A1A"/>
    <w:rsid w:val="00CA7C66"/>
    <w:rsid w:val="00CE6E1F"/>
    <w:rsid w:val="00CF20D9"/>
    <w:rsid w:val="00CF23A3"/>
    <w:rsid w:val="00CF244F"/>
    <w:rsid w:val="00D059FC"/>
    <w:rsid w:val="00D171C9"/>
    <w:rsid w:val="00D4325B"/>
    <w:rsid w:val="00D437EA"/>
    <w:rsid w:val="00D55FC3"/>
    <w:rsid w:val="00D71B3E"/>
    <w:rsid w:val="00D808A1"/>
    <w:rsid w:val="00D860EF"/>
    <w:rsid w:val="00DF1006"/>
    <w:rsid w:val="00E04FD9"/>
    <w:rsid w:val="00E36BFA"/>
    <w:rsid w:val="00E96663"/>
    <w:rsid w:val="00EB2F09"/>
    <w:rsid w:val="00EB7EEE"/>
    <w:rsid w:val="00EC3387"/>
    <w:rsid w:val="00ED0A11"/>
    <w:rsid w:val="00F3533E"/>
    <w:rsid w:val="00F71441"/>
    <w:rsid w:val="00F77C49"/>
    <w:rsid w:val="00F8701A"/>
    <w:rsid w:val="00FA279B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01EF4E2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moll@bfa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BFACH-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E9E"/>
      </a:accent1>
      <a:accent2>
        <a:srgbClr val="AB0059"/>
      </a:accent2>
      <a:accent3>
        <a:srgbClr val="C0C0C0"/>
      </a:accent3>
      <a:accent4>
        <a:srgbClr val="999999"/>
      </a:accent4>
      <a:accent5>
        <a:srgbClr val="808080"/>
      </a:accent5>
      <a:accent6>
        <a:srgbClr val="333333"/>
      </a:accent6>
      <a:hlink>
        <a:srgbClr val="0000FF"/>
      </a:hlink>
      <a:folHlink>
        <a:srgbClr val="800080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3254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Nermana Ljubuncic</cp:lastModifiedBy>
  <cp:revision>7</cp:revision>
  <cp:lastPrinted>2006-06-06T20:58:00Z</cp:lastPrinted>
  <dcterms:created xsi:type="dcterms:W3CDTF">2022-12-19T12:05:00Z</dcterms:created>
  <dcterms:modified xsi:type="dcterms:W3CDTF">2022-12-20T13:06:00Z</dcterms:modified>
</cp:coreProperties>
</file>