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9D97" w14:textId="77777777" w:rsidR="001D7533" w:rsidRPr="00AE1F44" w:rsidRDefault="00204BD3" w:rsidP="00AE3BCB">
      <w:pPr>
        <w:pStyle w:val="berschrift1"/>
        <w:keepNext w:val="0"/>
      </w:pPr>
      <w:r w:rsidRPr="00AE1F44">
        <w:t xml:space="preserve">Konsumkredit-Index </w:t>
      </w:r>
      <w:r>
        <w:t xml:space="preserve">mit </w:t>
      </w:r>
      <w:r w:rsidR="00AB3BA3" w:rsidRPr="00AE1F44">
        <w:t>Prognose</w:t>
      </w:r>
      <w:r>
        <w:t>horizont</w:t>
      </w:r>
      <w:r w:rsidR="00AB3BA3" w:rsidRPr="00AE1F44">
        <w:t xml:space="preserve"> 202</w:t>
      </w:r>
      <w:r w:rsidR="00076E1A">
        <w:t>3</w:t>
      </w:r>
      <w:r w:rsidR="00AB3BA3" w:rsidRPr="00AE1F44">
        <w:t xml:space="preserve">: </w:t>
      </w:r>
      <w:r>
        <w:t>Verbraucherstimmung verbessert sich deutlich</w:t>
      </w:r>
    </w:p>
    <w:p w14:paraId="533F8604" w14:textId="52A83397" w:rsidR="00A23BC5" w:rsidRDefault="00AB3BA3">
      <w:pPr>
        <w:pStyle w:val="Grundtext"/>
        <w:spacing w:after="360"/>
      </w:pPr>
      <w:r w:rsidRPr="00AE1F44">
        <w:t>Berlin</w:t>
      </w:r>
      <w:r w:rsidR="001D7533" w:rsidRPr="00AE1F44">
        <w:t xml:space="preserve">, </w:t>
      </w:r>
      <w:r w:rsidR="00144D75">
        <w:t>30</w:t>
      </w:r>
      <w:r w:rsidR="001D7533" w:rsidRPr="00AE1F44">
        <w:t xml:space="preserve">. </w:t>
      </w:r>
      <w:r w:rsidR="00F35E12">
        <w:t>März</w:t>
      </w:r>
      <w:r w:rsidR="001D7533" w:rsidRPr="00AE1F44">
        <w:t xml:space="preserve"> </w:t>
      </w:r>
      <w:r w:rsidR="00F35E12">
        <w:t>202</w:t>
      </w:r>
      <w:r w:rsidR="00076E1A">
        <w:t>3</w:t>
      </w:r>
      <w:r w:rsidR="001D7533" w:rsidRPr="00AE1F44">
        <w:t xml:space="preserve">. </w:t>
      </w:r>
      <w:r w:rsidRPr="00AE1F44">
        <w:t xml:space="preserve">Verbraucher werden Kredite zu Konsumzwecken </w:t>
      </w:r>
      <w:r w:rsidR="005356AE" w:rsidRPr="00AE1F44">
        <w:t>im Jahr 202</w:t>
      </w:r>
      <w:r w:rsidR="00076E1A">
        <w:t>3</w:t>
      </w:r>
      <w:r w:rsidR="005356AE" w:rsidRPr="00AE1F44">
        <w:t xml:space="preserve"> </w:t>
      </w:r>
      <w:r w:rsidRPr="00AE1F44">
        <w:t xml:space="preserve">in vergleichbarem Maß nutzen </w:t>
      </w:r>
      <w:r w:rsidR="008F0390" w:rsidRPr="00AE1F44">
        <w:t xml:space="preserve">wie im Vorjahr. </w:t>
      </w:r>
      <w:r w:rsidR="00B32BDD">
        <w:t>Dies prognostiziert</w:t>
      </w:r>
      <w:r w:rsidR="008F0390" w:rsidRPr="00AE1F44">
        <w:t xml:space="preserve"> der aktuelle Konsumkredit-Index </w:t>
      </w:r>
      <w:r w:rsidR="001E3DA7">
        <w:t xml:space="preserve">(KKI) </w:t>
      </w:r>
      <w:r w:rsidR="008F0390" w:rsidRPr="00AE1F44">
        <w:t>des Bankenfachverbandes</w:t>
      </w:r>
      <w:r w:rsidR="00B63AF5" w:rsidRPr="00AE1F44">
        <w:t xml:space="preserve">. </w:t>
      </w:r>
      <w:r w:rsidR="00AF78C7">
        <w:t>Grundlage des KKI ist eine Untersuchung</w:t>
      </w:r>
      <w:r w:rsidR="00AE1F44" w:rsidRPr="00AE1F44">
        <w:t xml:space="preserve"> </w:t>
      </w:r>
      <w:r w:rsidR="009D4536">
        <w:t>unter</w:t>
      </w:r>
      <w:r w:rsidR="00AE1F44" w:rsidRPr="00AE1F44">
        <w:t xml:space="preserve"> </w:t>
      </w:r>
      <w:r w:rsidR="00204BD3">
        <w:t>1.900</w:t>
      </w:r>
      <w:r w:rsidR="00AE1F44" w:rsidRPr="00AE1F44">
        <w:t xml:space="preserve"> Verbraucherhaushalte</w:t>
      </w:r>
      <w:r w:rsidR="00A60FFE">
        <w:t>n</w:t>
      </w:r>
      <w:r w:rsidR="009D4536">
        <w:t>, die im Februar</w:t>
      </w:r>
      <w:r w:rsidR="00AE1F44" w:rsidRPr="00AE1F44">
        <w:t xml:space="preserve"> nach ihren Konsum- und Finanzierungsabsichten befragt</w:t>
      </w:r>
      <w:r w:rsidR="009D4536">
        <w:t xml:space="preserve"> wurden</w:t>
      </w:r>
      <w:r w:rsidR="00AE1F44" w:rsidRPr="00AE1F44">
        <w:t xml:space="preserve">. Mit einem Wert von </w:t>
      </w:r>
      <w:r w:rsidR="00A23BC5">
        <w:t>95</w:t>
      </w:r>
      <w:r w:rsidR="00AE1F44" w:rsidRPr="00AE1F44">
        <w:t xml:space="preserve"> Punkten zeigt der </w:t>
      </w:r>
      <w:r w:rsidR="00C94E21">
        <w:t>Index</w:t>
      </w:r>
      <w:r w:rsidR="00AE1F44" w:rsidRPr="00AE1F44">
        <w:t xml:space="preserve"> </w:t>
      </w:r>
      <w:r w:rsidR="00D2377E">
        <w:t xml:space="preserve">für </w:t>
      </w:r>
      <w:r w:rsidR="00A60FFE">
        <w:t>das laufende Jahr</w:t>
      </w:r>
      <w:r w:rsidR="00D2377E">
        <w:t xml:space="preserve"> </w:t>
      </w:r>
      <w:r w:rsidR="00AE1F44" w:rsidRPr="00AE1F44">
        <w:t>eine stabile Kreditnachfrage auf Vorjahres</w:t>
      </w:r>
      <w:r w:rsidR="005356AE">
        <w:t>niveau</w:t>
      </w:r>
      <w:r w:rsidR="00BB42A2">
        <w:t xml:space="preserve"> an</w:t>
      </w:r>
      <w:r w:rsidR="00AE1F44" w:rsidRPr="00AE1F44">
        <w:t xml:space="preserve">. </w:t>
      </w:r>
    </w:p>
    <w:p w14:paraId="47053154" w14:textId="5B6A9CE4" w:rsidR="00B32BDD" w:rsidRPr="00116194" w:rsidRDefault="00A23BC5" w:rsidP="00A23BC5">
      <w:pPr>
        <w:pStyle w:val="Grundtext"/>
        <w:spacing w:after="360"/>
        <w:rPr>
          <w:b/>
        </w:rPr>
      </w:pPr>
      <w:r w:rsidRPr="00A23BC5">
        <w:rPr>
          <w:b/>
        </w:rPr>
        <w:t>Index-Wert steigt um 17 Punkte</w:t>
      </w:r>
      <w:r>
        <w:rPr>
          <w:b/>
        </w:rPr>
        <w:br/>
      </w:r>
      <w:r>
        <w:t xml:space="preserve">Im Vergleich zur Jahresmitte 2022 hat sich die Verbraucherstimmung mit Blick auf die Finanzierung von Konsumanschaffungen </w:t>
      </w:r>
      <w:r w:rsidR="00AF78C7">
        <w:t>in</w:t>
      </w:r>
      <w:r>
        <w:t xml:space="preserve"> 2023 </w:t>
      </w:r>
      <w:r w:rsidR="00116194">
        <w:t>signifikant</w:t>
      </w:r>
      <w:r>
        <w:t xml:space="preserve"> aufgehellt. So hatte der im </w:t>
      </w:r>
      <w:r w:rsidR="002A7F20">
        <w:t>Juni/</w:t>
      </w:r>
      <w:r>
        <w:t>Juli 2022 erhobene Konsumkredit-Index mit einem Wert von 78 Punkten einen Tiefstwert erreicht</w:t>
      </w:r>
      <w:r w:rsidR="002A7F20">
        <w:t>. Zu diesem Zeitpunkt war mit einer tendenziell leicht rückläufigen Kreditaufnahme bis Mitte 2023 zu rechnen.</w:t>
      </w:r>
      <w:r w:rsidR="00116194">
        <w:rPr>
          <w:b/>
        </w:rPr>
        <w:t xml:space="preserve"> </w:t>
      </w:r>
      <w:r w:rsidR="001E3DA7" w:rsidRPr="00116194">
        <w:t xml:space="preserve">„Die Verbraucherstimmung </w:t>
      </w:r>
      <w:r w:rsidR="00116194" w:rsidRPr="00116194">
        <w:t xml:space="preserve">hat sich in </w:t>
      </w:r>
      <w:r w:rsidR="001E5D76">
        <w:t>den letzten Monaten</w:t>
      </w:r>
      <w:r w:rsidR="00116194" w:rsidRPr="00116194">
        <w:t xml:space="preserve"> spürbar verbessert</w:t>
      </w:r>
      <w:r w:rsidR="001E3DA7" w:rsidRPr="00116194">
        <w:t xml:space="preserve">“, </w:t>
      </w:r>
      <w:r w:rsidR="001E3DA7">
        <w:t>s</w:t>
      </w:r>
      <w:r w:rsidR="00AE1F44" w:rsidRPr="00AE1F44">
        <w:t>agt Jens Loa, Geschäftsführer des Bankenfachverbandes</w:t>
      </w:r>
      <w:r w:rsidR="00116194">
        <w:t xml:space="preserve">, und </w:t>
      </w:r>
      <w:r w:rsidR="00116194" w:rsidRPr="00116194">
        <w:t xml:space="preserve">ergänzt: „Viele Menschen haben </w:t>
      </w:r>
      <w:r w:rsidR="00116194">
        <w:t>das Bedürfnis,</w:t>
      </w:r>
      <w:r w:rsidR="00116194" w:rsidRPr="00116194">
        <w:t xml:space="preserve"> aufgeschobene </w:t>
      </w:r>
      <w:r w:rsidR="001E5D76">
        <w:t>A</w:t>
      </w:r>
      <w:r w:rsidR="00116194" w:rsidRPr="00116194">
        <w:t>nschaffungen nach</w:t>
      </w:r>
      <w:r w:rsidR="00116194">
        <w:t>zu</w:t>
      </w:r>
      <w:r w:rsidR="00116194" w:rsidRPr="00116194">
        <w:t>holen</w:t>
      </w:r>
      <w:r w:rsidR="00A60FFE">
        <w:t xml:space="preserve"> und zu finanzieren</w:t>
      </w:r>
      <w:r w:rsidR="00116194" w:rsidRPr="00116194">
        <w:t>“.</w:t>
      </w:r>
    </w:p>
    <w:p w14:paraId="2D42303E" w14:textId="77777777" w:rsidR="00C94E21" w:rsidRPr="002A7F20" w:rsidRDefault="002A7F20" w:rsidP="002A7F20">
      <w:pPr>
        <w:pStyle w:val="Grundtext"/>
        <w:spacing w:after="360"/>
      </w:pPr>
      <w:r w:rsidRPr="002A7F20">
        <w:rPr>
          <w:b/>
        </w:rPr>
        <w:t>Mehr Kredite für Unterhaltungselektronik</w:t>
      </w:r>
      <w:r>
        <w:br/>
      </w:r>
      <w:r w:rsidR="005740B3">
        <w:t xml:space="preserve">Dem aktuellen Index gemäß </w:t>
      </w:r>
      <w:r w:rsidR="005356AE">
        <w:t>rechnet der Bankenfachverband</w:t>
      </w:r>
      <w:r w:rsidR="005740B3">
        <w:t xml:space="preserve"> für 202</w:t>
      </w:r>
      <w:r w:rsidR="00BF4E63">
        <w:t>3</w:t>
      </w:r>
      <w:r w:rsidR="005740B3">
        <w:t xml:space="preserve"> mit </w:t>
      </w:r>
      <w:r w:rsidR="00A23BC5">
        <w:t>mehr</w:t>
      </w:r>
      <w:r w:rsidR="005740B3">
        <w:t xml:space="preserve"> Krediten für Unterhaltungselektronik</w:t>
      </w:r>
      <w:r w:rsidR="00A23BC5">
        <w:t xml:space="preserve"> und </w:t>
      </w:r>
      <w:r w:rsidR="005740B3">
        <w:t>für sonstige Konsumgüter</w:t>
      </w:r>
      <w:r w:rsidR="005356AE">
        <w:t>.</w:t>
      </w:r>
      <w:r w:rsidR="005740B3">
        <w:t xml:space="preserve"> </w:t>
      </w:r>
      <w:r w:rsidR="00CA6DFE">
        <w:t>Konstant bleiben soll die Nutzung von Autofinanzierungen sowie von Krediten für Möbel, Küchen und Haushaltsgroßgeräte.</w:t>
      </w:r>
    </w:p>
    <w:p w14:paraId="5F41945C" w14:textId="5B08882D" w:rsidR="001D7533" w:rsidRPr="005740B3" w:rsidRDefault="00AB3BA3" w:rsidP="00D171C9">
      <w:pPr>
        <w:pStyle w:val="Grundtext"/>
        <w:spacing w:after="360" w:line="240" w:lineRule="exact"/>
        <w:rPr>
          <w:sz w:val="18"/>
          <w:szCs w:val="18"/>
        </w:rPr>
      </w:pPr>
      <w:r w:rsidRPr="00AE1F44">
        <w:rPr>
          <w:b/>
          <w:sz w:val="18"/>
          <w:szCs w:val="18"/>
        </w:rPr>
        <w:t>Der Bankenfachverband</w:t>
      </w:r>
      <w:r w:rsidRPr="00AE1F44">
        <w:rPr>
          <w:sz w:val="18"/>
          <w:szCs w:val="18"/>
        </w:rPr>
        <w:t xml:space="preserve"> (BFACH) vertritt die Interessen der Kreditbanken in Deutschland. Seine Mitglieder sind die Experten für die Finanzierung von Konsum- und Investitionsgütern wie Kraftfahrzeugen aller Art. Die Kreditbanken haben mehr als 170 Milliarden Euro an Verbraucher und Unternehmen ausgeliehen und fördern damit Wirtschaft und Konjunktur. </w:t>
      </w:r>
      <w:r w:rsidR="00B63AF5" w:rsidRPr="00AE1F44">
        <w:rPr>
          <w:b/>
          <w:sz w:val="18"/>
          <w:szCs w:val="18"/>
        </w:rPr>
        <w:t>Der Konsumkredit-Index</w:t>
      </w:r>
      <w:r w:rsidR="00B63AF5" w:rsidRPr="00AE1F44">
        <w:rPr>
          <w:sz w:val="18"/>
          <w:szCs w:val="18"/>
        </w:rPr>
        <w:t xml:space="preserve"> prognostiziert die private Kreditaufnahme in den kommenden zwölf Monaten. Dazu befragt Ipsos halbjährlich rund </w:t>
      </w:r>
      <w:r w:rsidR="00204BD3">
        <w:rPr>
          <w:sz w:val="18"/>
          <w:szCs w:val="18"/>
        </w:rPr>
        <w:t>1.900</w:t>
      </w:r>
      <w:r w:rsidR="00B63AF5" w:rsidRPr="00AE1F44">
        <w:rPr>
          <w:sz w:val="18"/>
          <w:szCs w:val="18"/>
        </w:rPr>
        <w:t xml:space="preserve"> Haushalte über das Finanzmarktpanel der GfK. Ein Indexwert von 100 zeigt eine Entwicklung auf Vorjahresniveau, ab 125 steigt die Kreditnutzung signifikant an.</w:t>
      </w:r>
      <w:r w:rsidR="005740B3">
        <w:rPr>
          <w:sz w:val="18"/>
          <w:szCs w:val="18"/>
        </w:rPr>
        <w:br/>
      </w:r>
      <w:r w:rsidR="00B63AF5" w:rsidRPr="00AE1F44">
        <w:rPr>
          <w:b/>
          <w:sz w:val="16"/>
          <w:szCs w:val="16"/>
        </w:rPr>
        <w:t xml:space="preserve">Anlagen: </w:t>
      </w:r>
      <w:r w:rsidR="00B63AF5" w:rsidRPr="00AE1F44">
        <w:rPr>
          <w:sz w:val="16"/>
          <w:szCs w:val="16"/>
        </w:rPr>
        <w:t>Infografik Konsumkredit-Index, Studie KKI 202</w:t>
      </w:r>
      <w:r w:rsidR="00076E1A">
        <w:rPr>
          <w:sz w:val="16"/>
          <w:szCs w:val="16"/>
        </w:rPr>
        <w:t>3</w:t>
      </w:r>
      <w:r w:rsidR="005740B3">
        <w:rPr>
          <w:sz w:val="16"/>
          <w:szCs w:val="16"/>
        </w:rPr>
        <w:t xml:space="preserve"> </w:t>
      </w:r>
      <w:r w:rsidR="00D171C9" w:rsidRPr="00AE1F44">
        <w:rPr>
          <w:b/>
          <w:sz w:val="16"/>
          <w:szCs w:val="16"/>
        </w:rPr>
        <w:t>Textfassung</w:t>
      </w:r>
      <w:r w:rsidR="00D171C9" w:rsidRPr="00AE1F44">
        <w:rPr>
          <w:sz w:val="16"/>
          <w:szCs w:val="16"/>
        </w:rPr>
        <w:t xml:space="preserve">: www.bfach.de / </w:t>
      </w:r>
      <w:r w:rsidR="00D171C9" w:rsidRPr="00CF4A9E">
        <w:rPr>
          <w:sz w:val="16"/>
          <w:szCs w:val="16"/>
        </w:rPr>
        <w:t xml:space="preserve">Presse / </w:t>
      </w:r>
      <w:r w:rsidR="0001469B">
        <w:rPr>
          <w:sz w:val="16"/>
          <w:szCs w:val="16"/>
        </w:rPr>
        <w:t>30</w:t>
      </w:r>
      <w:bookmarkStart w:id="0" w:name="_GoBack"/>
      <w:bookmarkEnd w:id="0"/>
      <w:r w:rsidR="00D171C9" w:rsidRPr="00AE1F44">
        <w:rPr>
          <w:sz w:val="16"/>
          <w:szCs w:val="16"/>
        </w:rPr>
        <w:t>.</w:t>
      </w:r>
      <w:r w:rsidR="003A7663">
        <w:rPr>
          <w:sz w:val="16"/>
          <w:szCs w:val="16"/>
        </w:rPr>
        <w:t>03.2</w:t>
      </w:r>
      <w:r w:rsidR="00076E1A">
        <w:rPr>
          <w:sz w:val="16"/>
          <w:szCs w:val="16"/>
        </w:rPr>
        <w:t>3</w:t>
      </w:r>
      <w:r w:rsidR="00D171C9" w:rsidRPr="00AE1F44">
        <w:rPr>
          <w:sz w:val="16"/>
          <w:szCs w:val="16"/>
        </w:rPr>
        <w:br/>
      </w:r>
      <w:r w:rsidR="00D171C9" w:rsidRPr="00AE1F44">
        <w:rPr>
          <w:b/>
          <w:sz w:val="16"/>
          <w:szCs w:val="16"/>
        </w:rPr>
        <w:t xml:space="preserve">Kontakt: </w:t>
      </w:r>
      <w:r w:rsidR="00D171C9" w:rsidRPr="00AE1F44">
        <w:rPr>
          <w:sz w:val="16"/>
          <w:szCs w:val="16"/>
        </w:rPr>
        <w:t xml:space="preserve">Bankenfachverband, Stephan Moll, Leiter Markt und PR, Tel. 030 2462596-14, </w:t>
      </w:r>
      <w:hyperlink r:id="rId7" w:history="1">
        <w:r w:rsidR="005740B3" w:rsidRPr="0014074E">
          <w:rPr>
            <w:rStyle w:val="Hyperlink"/>
            <w:color w:val="auto"/>
            <w:sz w:val="16"/>
            <w:szCs w:val="16"/>
          </w:rPr>
          <w:t>stephan.moll@bfach.de</w:t>
        </w:r>
      </w:hyperlink>
    </w:p>
    <w:p w14:paraId="71E58574" w14:textId="77777777" w:rsidR="005740B3" w:rsidRDefault="00076E1A" w:rsidP="00D171C9">
      <w:pPr>
        <w:pStyle w:val="Grundtext"/>
        <w:spacing w:after="360" w:line="240" w:lineRule="exact"/>
        <w:rPr>
          <w:szCs w:val="22"/>
        </w:rPr>
      </w:pPr>
      <w:r>
        <w:rPr>
          <w:b/>
          <w:noProof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47278FA3" wp14:editId="53BE2D77">
            <wp:simplePos x="0" y="0"/>
            <wp:positionH relativeFrom="column">
              <wp:posOffset>-175260</wp:posOffset>
            </wp:positionH>
            <wp:positionV relativeFrom="paragraph">
              <wp:posOffset>421005</wp:posOffset>
            </wp:positionV>
            <wp:extent cx="4858512" cy="485851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KI_2023_BFACH_Infografi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12" cy="4858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0B3" w:rsidRPr="00503B32">
        <w:rPr>
          <w:b/>
          <w:szCs w:val="22"/>
        </w:rPr>
        <w:t>Konsumkredit-Index 202</w:t>
      </w:r>
      <w:r>
        <w:rPr>
          <w:b/>
          <w:szCs w:val="22"/>
        </w:rPr>
        <w:t>3</w:t>
      </w:r>
      <w:r w:rsidR="005740B3">
        <w:rPr>
          <w:b/>
          <w:szCs w:val="22"/>
        </w:rPr>
        <w:br/>
      </w:r>
      <w:r w:rsidR="005740B3" w:rsidRPr="005740B3">
        <w:rPr>
          <w:szCs w:val="22"/>
        </w:rPr>
        <w:t>Prognose der Konsum</w:t>
      </w:r>
      <w:r w:rsidR="005740B3">
        <w:rPr>
          <w:szCs w:val="22"/>
        </w:rPr>
        <w:t>k</w:t>
      </w:r>
      <w:r w:rsidR="005740B3" w:rsidRPr="005740B3">
        <w:rPr>
          <w:szCs w:val="22"/>
        </w:rPr>
        <w:t>reditnutzung in Deutschland</w:t>
      </w:r>
    </w:p>
    <w:p w14:paraId="0D3DB2E6" w14:textId="77777777" w:rsidR="005740B3" w:rsidRDefault="005740B3" w:rsidP="00D171C9">
      <w:pPr>
        <w:pStyle w:val="Grundtext"/>
        <w:spacing w:after="360" w:line="240" w:lineRule="exact"/>
        <w:rPr>
          <w:b/>
          <w:szCs w:val="22"/>
        </w:rPr>
      </w:pPr>
    </w:p>
    <w:p w14:paraId="1304C97F" w14:textId="77777777" w:rsidR="005740B3" w:rsidRDefault="005740B3" w:rsidP="00D171C9">
      <w:pPr>
        <w:pStyle w:val="Grundtext"/>
        <w:spacing w:after="360" w:line="240" w:lineRule="exact"/>
        <w:rPr>
          <w:b/>
          <w:szCs w:val="22"/>
        </w:rPr>
      </w:pPr>
    </w:p>
    <w:p w14:paraId="39B2B97F" w14:textId="77777777" w:rsidR="005740B3" w:rsidRDefault="005740B3" w:rsidP="00D171C9">
      <w:pPr>
        <w:pStyle w:val="Grundtext"/>
        <w:spacing w:after="360" w:line="240" w:lineRule="exact"/>
        <w:rPr>
          <w:b/>
          <w:szCs w:val="22"/>
        </w:rPr>
      </w:pPr>
    </w:p>
    <w:p w14:paraId="188304FF" w14:textId="77777777" w:rsidR="005740B3" w:rsidRPr="005740B3" w:rsidRDefault="005740B3" w:rsidP="00D171C9">
      <w:pPr>
        <w:pStyle w:val="Grundtext"/>
        <w:spacing w:after="360" w:line="240" w:lineRule="exact"/>
        <w:rPr>
          <w:b/>
          <w:szCs w:val="22"/>
        </w:rPr>
      </w:pPr>
    </w:p>
    <w:p w14:paraId="75636587" w14:textId="77777777" w:rsidR="005740B3" w:rsidRDefault="005740B3" w:rsidP="00D171C9">
      <w:pPr>
        <w:pStyle w:val="Grundtext"/>
        <w:spacing w:after="360" w:line="240" w:lineRule="exact"/>
        <w:rPr>
          <w:noProof/>
          <w:sz w:val="18"/>
          <w:szCs w:val="18"/>
        </w:rPr>
      </w:pPr>
    </w:p>
    <w:p w14:paraId="013AE368" w14:textId="77777777" w:rsidR="005740B3" w:rsidRDefault="005740B3" w:rsidP="00D171C9">
      <w:pPr>
        <w:pStyle w:val="Grundtext"/>
        <w:spacing w:after="360" w:line="240" w:lineRule="exact"/>
        <w:rPr>
          <w:noProof/>
          <w:sz w:val="18"/>
          <w:szCs w:val="18"/>
        </w:rPr>
      </w:pPr>
    </w:p>
    <w:p w14:paraId="4B32CDE5" w14:textId="77777777" w:rsidR="005740B3" w:rsidRDefault="005740B3" w:rsidP="00D171C9">
      <w:pPr>
        <w:pStyle w:val="Grundtext"/>
        <w:spacing w:after="360" w:line="240" w:lineRule="exact"/>
        <w:rPr>
          <w:noProof/>
          <w:sz w:val="18"/>
          <w:szCs w:val="18"/>
        </w:rPr>
      </w:pPr>
    </w:p>
    <w:p w14:paraId="77119E1C" w14:textId="77777777" w:rsidR="005740B3" w:rsidRDefault="005740B3" w:rsidP="00D171C9">
      <w:pPr>
        <w:pStyle w:val="Grundtext"/>
        <w:spacing w:after="360" w:line="240" w:lineRule="exact"/>
        <w:rPr>
          <w:noProof/>
          <w:sz w:val="18"/>
          <w:szCs w:val="18"/>
        </w:rPr>
      </w:pPr>
    </w:p>
    <w:p w14:paraId="79EB8E41" w14:textId="77777777" w:rsidR="005740B3" w:rsidRDefault="005740B3" w:rsidP="00D171C9">
      <w:pPr>
        <w:pStyle w:val="Grundtext"/>
        <w:spacing w:after="360" w:line="240" w:lineRule="exact"/>
        <w:rPr>
          <w:noProof/>
          <w:sz w:val="18"/>
          <w:szCs w:val="18"/>
        </w:rPr>
      </w:pPr>
    </w:p>
    <w:p w14:paraId="5CBD5E01" w14:textId="77777777" w:rsidR="005740B3" w:rsidRDefault="005740B3" w:rsidP="00D171C9">
      <w:pPr>
        <w:pStyle w:val="Grundtext"/>
        <w:spacing w:after="360" w:line="240" w:lineRule="exact"/>
        <w:rPr>
          <w:noProof/>
          <w:sz w:val="18"/>
          <w:szCs w:val="18"/>
        </w:rPr>
      </w:pPr>
    </w:p>
    <w:p w14:paraId="67CC3915" w14:textId="77777777" w:rsidR="005740B3" w:rsidRDefault="005740B3" w:rsidP="00D171C9">
      <w:pPr>
        <w:pStyle w:val="Grundtext"/>
        <w:spacing w:after="360" w:line="240" w:lineRule="exact"/>
        <w:rPr>
          <w:noProof/>
          <w:sz w:val="18"/>
          <w:szCs w:val="18"/>
        </w:rPr>
      </w:pPr>
    </w:p>
    <w:p w14:paraId="20B6C9F9" w14:textId="77777777" w:rsidR="005740B3" w:rsidRDefault="005740B3" w:rsidP="00D171C9">
      <w:pPr>
        <w:pStyle w:val="Grundtext"/>
        <w:spacing w:after="360" w:line="240" w:lineRule="exact"/>
        <w:rPr>
          <w:noProof/>
          <w:sz w:val="18"/>
          <w:szCs w:val="18"/>
        </w:rPr>
      </w:pPr>
    </w:p>
    <w:p w14:paraId="1F6F2C27" w14:textId="77777777" w:rsidR="005740B3" w:rsidRDefault="005740B3" w:rsidP="00D171C9">
      <w:pPr>
        <w:pStyle w:val="Grundtext"/>
        <w:spacing w:after="360" w:line="240" w:lineRule="exact"/>
        <w:rPr>
          <w:noProof/>
          <w:sz w:val="18"/>
          <w:szCs w:val="18"/>
        </w:rPr>
      </w:pPr>
    </w:p>
    <w:p w14:paraId="06FD8DB7" w14:textId="77777777" w:rsidR="00076E1A" w:rsidRDefault="00076E1A" w:rsidP="00D171C9">
      <w:pPr>
        <w:pStyle w:val="Grundtext"/>
        <w:spacing w:after="360" w:line="240" w:lineRule="exact"/>
        <w:rPr>
          <w:szCs w:val="22"/>
        </w:rPr>
      </w:pPr>
      <w:r w:rsidRPr="00076E1A">
        <w:rPr>
          <w:b/>
          <w:szCs w:val="22"/>
        </w:rPr>
        <w:t>Konsumkredit-Index im Vergleich</w:t>
      </w:r>
      <w:r>
        <w:rPr>
          <w:szCs w:val="22"/>
        </w:rPr>
        <w:br/>
        <w:t>Index-Werte 2019 - 2023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965"/>
        <w:gridCol w:w="888"/>
        <w:gridCol w:w="965"/>
        <w:gridCol w:w="888"/>
        <w:gridCol w:w="965"/>
        <w:gridCol w:w="888"/>
        <w:gridCol w:w="965"/>
        <w:gridCol w:w="888"/>
      </w:tblGrid>
      <w:tr w:rsidR="00076E1A" w:rsidRPr="00076E1A" w14:paraId="4698B602" w14:textId="77777777" w:rsidTr="00076E1A">
        <w:trPr>
          <w:trHeight w:val="26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26C23" w14:textId="77777777" w:rsidR="00076E1A" w:rsidRPr="00076E1A" w:rsidRDefault="00076E1A" w:rsidP="00076E1A">
            <w:pPr>
              <w:tabs>
                <w:tab w:val="clear" w:pos="1239"/>
                <w:tab w:val="clear" w:pos="3686"/>
                <w:tab w:val="clear" w:pos="8845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1A">
              <w:rPr>
                <w:rFonts w:ascii="Arial" w:hAnsi="Arial" w:cs="Arial"/>
                <w:b/>
                <w:color w:val="000000"/>
                <w:sz w:val="20"/>
                <w:szCs w:val="20"/>
              </w:rPr>
              <w:t>KKI</w:t>
            </w:r>
            <w:r w:rsidRPr="00076E1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2A7F20">
              <w:rPr>
                <w:rFonts w:ascii="Arial" w:hAnsi="Arial" w:cs="Arial"/>
                <w:color w:val="000000"/>
                <w:sz w:val="20"/>
                <w:szCs w:val="20"/>
              </w:rPr>
              <w:t>Prognose</w:t>
            </w:r>
            <w:r w:rsidRPr="00076E1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B5F91" w14:textId="77777777" w:rsidR="00076E1A" w:rsidRPr="00076E1A" w:rsidRDefault="00076E1A" w:rsidP="00076E1A">
            <w:pPr>
              <w:tabs>
                <w:tab w:val="clear" w:pos="1239"/>
                <w:tab w:val="clear" w:pos="3686"/>
                <w:tab w:val="clear" w:pos="8845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1A">
              <w:rPr>
                <w:rFonts w:ascii="Arial" w:hAnsi="Arial" w:cs="Arial"/>
                <w:color w:val="000000"/>
                <w:sz w:val="20"/>
                <w:szCs w:val="20"/>
              </w:rPr>
              <w:t>2019/20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E2A40" w14:textId="77777777" w:rsidR="00076E1A" w:rsidRPr="00076E1A" w:rsidRDefault="00076E1A" w:rsidP="00076E1A">
            <w:pPr>
              <w:tabs>
                <w:tab w:val="clear" w:pos="1239"/>
                <w:tab w:val="clear" w:pos="3686"/>
                <w:tab w:val="clear" w:pos="8845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1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7944B" w14:textId="77777777" w:rsidR="00076E1A" w:rsidRPr="00076E1A" w:rsidRDefault="00076E1A" w:rsidP="00076E1A">
            <w:pPr>
              <w:tabs>
                <w:tab w:val="clear" w:pos="1239"/>
                <w:tab w:val="clear" w:pos="3686"/>
                <w:tab w:val="clear" w:pos="8845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1A">
              <w:rPr>
                <w:rFonts w:ascii="Arial" w:hAnsi="Arial" w:cs="Arial"/>
                <w:color w:val="000000"/>
                <w:sz w:val="20"/>
                <w:szCs w:val="20"/>
              </w:rPr>
              <w:t>2020/21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0E02F" w14:textId="77777777" w:rsidR="00076E1A" w:rsidRPr="00076E1A" w:rsidRDefault="00076E1A" w:rsidP="00076E1A">
            <w:pPr>
              <w:tabs>
                <w:tab w:val="clear" w:pos="1239"/>
                <w:tab w:val="clear" w:pos="3686"/>
                <w:tab w:val="clear" w:pos="8845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1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523DF" w14:textId="77777777" w:rsidR="00076E1A" w:rsidRPr="00076E1A" w:rsidRDefault="00076E1A" w:rsidP="00076E1A">
            <w:pPr>
              <w:tabs>
                <w:tab w:val="clear" w:pos="1239"/>
                <w:tab w:val="clear" w:pos="3686"/>
                <w:tab w:val="clear" w:pos="8845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1A">
              <w:rPr>
                <w:rFonts w:ascii="Arial" w:hAnsi="Arial" w:cs="Arial"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DEFB7" w14:textId="77777777" w:rsidR="00076E1A" w:rsidRPr="00076E1A" w:rsidRDefault="00076E1A" w:rsidP="00076E1A">
            <w:pPr>
              <w:tabs>
                <w:tab w:val="clear" w:pos="1239"/>
                <w:tab w:val="clear" w:pos="3686"/>
                <w:tab w:val="clear" w:pos="8845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1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200D2" w14:textId="77777777" w:rsidR="00076E1A" w:rsidRPr="00076E1A" w:rsidRDefault="00076E1A" w:rsidP="00076E1A">
            <w:pPr>
              <w:tabs>
                <w:tab w:val="clear" w:pos="1239"/>
                <w:tab w:val="clear" w:pos="3686"/>
                <w:tab w:val="clear" w:pos="8845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1A">
              <w:rPr>
                <w:rFonts w:ascii="Arial" w:hAnsi="Arial" w:cs="Arial"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63AC0" w14:textId="77777777" w:rsidR="00076E1A" w:rsidRPr="00076E1A" w:rsidRDefault="00076E1A" w:rsidP="00076E1A">
            <w:pPr>
              <w:tabs>
                <w:tab w:val="clear" w:pos="1239"/>
                <w:tab w:val="clear" w:pos="3686"/>
                <w:tab w:val="clear" w:pos="8845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1A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076E1A" w:rsidRPr="00076E1A" w14:paraId="2D53FA22" w14:textId="77777777" w:rsidTr="00076E1A">
        <w:trPr>
          <w:trHeight w:val="264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B57E5" w14:textId="77777777" w:rsidR="00076E1A" w:rsidRPr="00076E1A" w:rsidRDefault="00076E1A" w:rsidP="00076E1A">
            <w:pPr>
              <w:tabs>
                <w:tab w:val="clear" w:pos="1239"/>
                <w:tab w:val="clear" w:pos="3686"/>
                <w:tab w:val="clear" w:pos="8845"/>
              </w:tabs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E1A">
              <w:rPr>
                <w:rFonts w:ascii="Arial" w:hAnsi="Arial" w:cs="Arial"/>
                <w:color w:val="000000"/>
                <w:sz w:val="20"/>
                <w:szCs w:val="20"/>
              </w:rPr>
              <w:t xml:space="preserve">Wert (Punkte)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7DEFB" w14:textId="77777777" w:rsidR="00076E1A" w:rsidRPr="00076E1A" w:rsidRDefault="00076E1A" w:rsidP="00076E1A">
            <w:pPr>
              <w:tabs>
                <w:tab w:val="clear" w:pos="1239"/>
                <w:tab w:val="clear" w:pos="3686"/>
                <w:tab w:val="clear" w:pos="8845"/>
              </w:tabs>
              <w:spacing w:line="240" w:lineRule="auto"/>
              <w:jc w:val="right"/>
              <w:rPr>
                <w:rFonts w:ascii="Arial" w:hAnsi="Arial" w:cs="Arial"/>
                <w:b/>
                <w:color w:val="004E9E" w:themeColor="accent2"/>
                <w:sz w:val="20"/>
                <w:szCs w:val="20"/>
              </w:rPr>
            </w:pPr>
            <w:r w:rsidRPr="00076E1A">
              <w:rPr>
                <w:rFonts w:ascii="Arial" w:hAnsi="Arial" w:cs="Arial"/>
                <w:b/>
                <w:color w:val="004E9E" w:themeColor="accent2"/>
                <w:sz w:val="20"/>
                <w:szCs w:val="20"/>
              </w:rPr>
              <w:t>136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22783" w14:textId="77777777" w:rsidR="00076E1A" w:rsidRPr="00076E1A" w:rsidRDefault="00076E1A" w:rsidP="00076E1A">
            <w:pPr>
              <w:tabs>
                <w:tab w:val="clear" w:pos="1239"/>
                <w:tab w:val="clear" w:pos="3686"/>
                <w:tab w:val="clear" w:pos="8845"/>
              </w:tabs>
              <w:spacing w:line="240" w:lineRule="auto"/>
              <w:jc w:val="right"/>
              <w:rPr>
                <w:rFonts w:ascii="Arial" w:hAnsi="Arial" w:cs="Arial"/>
                <w:b/>
                <w:color w:val="004E9E" w:themeColor="accent2"/>
                <w:sz w:val="20"/>
                <w:szCs w:val="20"/>
              </w:rPr>
            </w:pPr>
            <w:r w:rsidRPr="00076E1A">
              <w:rPr>
                <w:rFonts w:ascii="Arial" w:hAnsi="Arial" w:cs="Arial"/>
                <w:b/>
                <w:color w:val="004E9E" w:themeColor="accent2"/>
                <w:sz w:val="20"/>
                <w:szCs w:val="20"/>
              </w:rPr>
              <w:t>135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2AEBF" w14:textId="77777777" w:rsidR="00076E1A" w:rsidRPr="00076E1A" w:rsidRDefault="00076E1A" w:rsidP="00076E1A">
            <w:pPr>
              <w:tabs>
                <w:tab w:val="clear" w:pos="1239"/>
                <w:tab w:val="clear" w:pos="3686"/>
                <w:tab w:val="clear" w:pos="8845"/>
              </w:tabs>
              <w:spacing w:line="240" w:lineRule="auto"/>
              <w:jc w:val="right"/>
              <w:rPr>
                <w:rFonts w:ascii="Arial" w:hAnsi="Arial" w:cs="Arial"/>
                <w:b/>
                <w:color w:val="004E9E" w:themeColor="accent2"/>
                <w:sz w:val="20"/>
                <w:szCs w:val="20"/>
              </w:rPr>
            </w:pPr>
            <w:r w:rsidRPr="00076E1A">
              <w:rPr>
                <w:rFonts w:ascii="Arial" w:hAnsi="Arial" w:cs="Arial"/>
                <w:b/>
                <w:color w:val="004E9E" w:themeColor="accent2"/>
                <w:sz w:val="20"/>
                <w:szCs w:val="20"/>
              </w:rPr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6AD48" w14:textId="77777777" w:rsidR="00076E1A" w:rsidRPr="00076E1A" w:rsidRDefault="00076E1A" w:rsidP="00076E1A">
            <w:pPr>
              <w:tabs>
                <w:tab w:val="clear" w:pos="1239"/>
                <w:tab w:val="clear" w:pos="3686"/>
                <w:tab w:val="clear" w:pos="8845"/>
              </w:tabs>
              <w:spacing w:line="240" w:lineRule="auto"/>
              <w:jc w:val="right"/>
              <w:rPr>
                <w:rFonts w:ascii="Arial" w:hAnsi="Arial" w:cs="Arial"/>
                <w:b/>
                <w:color w:val="004E9E" w:themeColor="accent2"/>
                <w:sz w:val="20"/>
                <w:szCs w:val="20"/>
              </w:rPr>
            </w:pPr>
            <w:r w:rsidRPr="00076E1A">
              <w:rPr>
                <w:rFonts w:ascii="Arial" w:hAnsi="Arial" w:cs="Arial"/>
                <w:b/>
                <w:color w:val="004E9E" w:themeColor="accent2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2591C" w14:textId="77777777" w:rsidR="00076E1A" w:rsidRPr="00076E1A" w:rsidRDefault="00076E1A" w:rsidP="00076E1A">
            <w:pPr>
              <w:tabs>
                <w:tab w:val="clear" w:pos="1239"/>
                <w:tab w:val="clear" w:pos="3686"/>
                <w:tab w:val="clear" w:pos="8845"/>
              </w:tabs>
              <w:spacing w:line="240" w:lineRule="auto"/>
              <w:jc w:val="right"/>
              <w:rPr>
                <w:rFonts w:ascii="Arial" w:hAnsi="Arial" w:cs="Arial"/>
                <w:b/>
                <w:color w:val="004E9E" w:themeColor="accent2"/>
                <w:sz w:val="20"/>
                <w:szCs w:val="20"/>
              </w:rPr>
            </w:pPr>
            <w:r w:rsidRPr="00076E1A">
              <w:rPr>
                <w:rFonts w:ascii="Arial" w:hAnsi="Arial" w:cs="Arial"/>
                <w:b/>
                <w:color w:val="004E9E" w:themeColor="accent2"/>
                <w:sz w:val="20"/>
                <w:szCs w:val="20"/>
              </w:rPr>
              <w:t>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13242" w14:textId="77777777" w:rsidR="00076E1A" w:rsidRPr="00076E1A" w:rsidRDefault="00076E1A" w:rsidP="00076E1A">
            <w:pPr>
              <w:tabs>
                <w:tab w:val="clear" w:pos="1239"/>
                <w:tab w:val="clear" w:pos="3686"/>
                <w:tab w:val="clear" w:pos="8845"/>
              </w:tabs>
              <w:spacing w:line="240" w:lineRule="auto"/>
              <w:jc w:val="right"/>
              <w:rPr>
                <w:rFonts w:ascii="Arial" w:hAnsi="Arial" w:cs="Arial"/>
                <w:b/>
                <w:color w:val="004E9E" w:themeColor="accent2"/>
                <w:sz w:val="20"/>
                <w:szCs w:val="20"/>
              </w:rPr>
            </w:pPr>
            <w:r w:rsidRPr="00076E1A">
              <w:rPr>
                <w:rFonts w:ascii="Arial" w:hAnsi="Arial" w:cs="Arial"/>
                <w:b/>
                <w:color w:val="004E9E" w:themeColor="accent2"/>
                <w:sz w:val="20"/>
                <w:szCs w:val="20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1D276" w14:textId="77777777" w:rsidR="00076E1A" w:rsidRPr="00076E1A" w:rsidRDefault="00076E1A" w:rsidP="00076E1A">
            <w:pPr>
              <w:tabs>
                <w:tab w:val="clear" w:pos="1239"/>
                <w:tab w:val="clear" w:pos="3686"/>
                <w:tab w:val="clear" w:pos="8845"/>
              </w:tabs>
              <w:spacing w:line="240" w:lineRule="auto"/>
              <w:jc w:val="right"/>
              <w:rPr>
                <w:rFonts w:ascii="Arial" w:hAnsi="Arial" w:cs="Arial"/>
                <w:b/>
                <w:color w:val="004E9E" w:themeColor="accent2"/>
                <w:sz w:val="20"/>
                <w:szCs w:val="20"/>
              </w:rPr>
            </w:pPr>
            <w:r w:rsidRPr="00076E1A">
              <w:rPr>
                <w:rFonts w:ascii="Arial" w:hAnsi="Arial" w:cs="Arial"/>
                <w:b/>
                <w:color w:val="004E9E" w:themeColor="accent2"/>
                <w:sz w:val="20"/>
                <w:szCs w:val="20"/>
              </w:rPr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3D376" w14:textId="77777777" w:rsidR="00076E1A" w:rsidRPr="00076E1A" w:rsidRDefault="00076E1A" w:rsidP="00076E1A">
            <w:pPr>
              <w:tabs>
                <w:tab w:val="clear" w:pos="1239"/>
                <w:tab w:val="clear" w:pos="3686"/>
                <w:tab w:val="clear" w:pos="8845"/>
              </w:tabs>
              <w:spacing w:line="240" w:lineRule="auto"/>
              <w:jc w:val="right"/>
              <w:rPr>
                <w:rFonts w:ascii="Arial" w:hAnsi="Arial" w:cs="Arial"/>
                <w:b/>
                <w:color w:val="004E9E" w:themeColor="accent2"/>
                <w:sz w:val="20"/>
                <w:szCs w:val="20"/>
              </w:rPr>
            </w:pPr>
            <w:r w:rsidRPr="00076E1A">
              <w:rPr>
                <w:rFonts w:ascii="Arial" w:hAnsi="Arial" w:cs="Arial"/>
                <w:b/>
                <w:color w:val="004E9E" w:themeColor="accent2"/>
                <w:sz w:val="20"/>
                <w:szCs w:val="20"/>
              </w:rPr>
              <w:t>95</w:t>
            </w:r>
          </w:p>
        </w:tc>
      </w:tr>
    </w:tbl>
    <w:p w14:paraId="09AFC0E6" w14:textId="77777777" w:rsidR="00076E1A" w:rsidRDefault="00076E1A" w:rsidP="00D171C9">
      <w:pPr>
        <w:pStyle w:val="Grundtext"/>
        <w:spacing w:after="360" w:line="240" w:lineRule="exact"/>
        <w:rPr>
          <w:szCs w:val="22"/>
        </w:rPr>
      </w:pPr>
    </w:p>
    <w:p w14:paraId="3687E32A" w14:textId="77777777" w:rsidR="00A84DF6" w:rsidRDefault="00A84DF6" w:rsidP="00D171C9">
      <w:pPr>
        <w:pStyle w:val="Grundtext"/>
        <w:spacing w:after="360" w:line="240" w:lineRule="exact"/>
        <w:rPr>
          <w:szCs w:val="22"/>
        </w:rPr>
      </w:pPr>
    </w:p>
    <w:p w14:paraId="16229129" w14:textId="3A4BD6A2" w:rsidR="005740B3" w:rsidRPr="00AE1F44" w:rsidRDefault="005740B3" w:rsidP="00D171C9">
      <w:pPr>
        <w:pStyle w:val="Grundtext"/>
        <w:spacing w:after="360" w:line="240" w:lineRule="exact"/>
        <w:rPr>
          <w:sz w:val="18"/>
          <w:szCs w:val="18"/>
        </w:rPr>
      </w:pPr>
      <w:r>
        <w:rPr>
          <w:szCs w:val="22"/>
        </w:rPr>
        <w:t xml:space="preserve">Anlage zur Presseinformation des Bankenfachverbandes vom </w:t>
      </w:r>
      <w:r w:rsidR="00144D75">
        <w:rPr>
          <w:szCs w:val="22"/>
        </w:rPr>
        <w:t>30</w:t>
      </w:r>
      <w:r w:rsidRPr="00F801D6">
        <w:rPr>
          <w:szCs w:val="22"/>
        </w:rPr>
        <w:t xml:space="preserve">. </w:t>
      </w:r>
      <w:r>
        <w:rPr>
          <w:szCs w:val="22"/>
        </w:rPr>
        <w:t>März 202</w:t>
      </w:r>
      <w:r w:rsidR="00076E1A">
        <w:rPr>
          <w:szCs w:val="22"/>
        </w:rPr>
        <w:t>3</w:t>
      </w:r>
    </w:p>
    <w:sectPr w:rsidR="005740B3" w:rsidRPr="00AE1F44">
      <w:headerReference w:type="default" r:id="rId9"/>
      <w:footerReference w:type="default" r:id="rId10"/>
      <w:headerReference w:type="first" r:id="rId11"/>
      <w:pgSz w:w="11906" w:h="16838" w:code="9"/>
      <w:pgMar w:top="3402" w:right="1361" w:bottom="1701" w:left="1701" w:header="24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69591" w14:textId="77777777" w:rsidR="002943C1" w:rsidRDefault="002943C1">
      <w:r>
        <w:separator/>
      </w:r>
    </w:p>
  </w:endnote>
  <w:endnote w:type="continuationSeparator" w:id="0">
    <w:p w14:paraId="39C548FB" w14:textId="77777777" w:rsidR="002943C1" w:rsidRDefault="0029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5ED98" w14:textId="77777777" w:rsidR="001825A2" w:rsidRDefault="001825A2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9D9BA" w14:textId="77777777" w:rsidR="002943C1" w:rsidRDefault="002943C1">
      <w:r>
        <w:separator/>
      </w:r>
    </w:p>
  </w:footnote>
  <w:footnote w:type="continuationSeparator" w:id="0">
    <w:p w14:paraId="7FA3A964" w14:textId="77777777" w:rsidR="002943C1" w:rsidRDefault="0029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20AC" w14:textId="77777777" w:rsidR="001825A2" w:rsidRDefault="001B6762">
    <w:r>
      <w:rPr>
        <w:noProof/>
        <w:sz w:val="20"/>
      </w:rPr>
      <w:drawing>
        <wp:anchor distT="0" distB="0" distL="114300" distR="114300" simplePos="0" relativeHeight="251658752" behindDoc="0" locked="1" layoutInCell="1" allowOverlap="1" wp14:anchorId="600A725E" wp14:editId="0BD279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424940"/>
          <wp:effectExtent l="0" t="0" r="0" b="3810"/>
          <wp:wrapNone/>
          <wp:docPr id="12" name="Bild 12" descr="briefboge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bogen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97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D2C6" w14:textId="77777777" w:rsidR="001825A2" w:rsidRDefault="001B6762">
    <w:r>
      <w:rPr>
        <w:noProof/>
        <w:sz w:val="20"/>
      </w:rPr>
      <w:drawing>
        <wp:anchor distT="0" distB="0" distL="114300" distR="114300" simplePos="0" relativeHeight="251656704" behindDoc="0" locked="1" layoutInCell="1" allowOverlap="1" wp14:anchorId="247BFAEA" wp14:editId="4355A6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734675"/>
          <wp:effectExtent l="0" t="0" r="0" b="9525"/>
          <wp:wrapNone/>
          <wp:docPr id="13" name="Bild 13" descr="Presse-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esse-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ABC"/>
    <w:multiLevelType w:val="hybridMultilevel"/>
    <w:tmpl w:val="5A32B7CE"/>
    <w:lvl w:ilvl="0" w:tplc="8FA08A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E2C"/>
    <w:multiLevelType w:val="hybridMultilevel"/>
    <w:tmpl w:val="2174B45E"/>
    <w:lvl w:ilvl="0" w:tplc="F5242172">
      <w:start w:val="1"/>
      <w:numFmt w:val="bullet"/>
      <w:pStyle w:val="AufzhlungMit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F8A"/>
    <w:multiLevelType w:val="hybridMultilevel"/>
    <w:tmpl w:val="DA66277E"/>
    <w:lvl w:ilvl="0" w:tplc="D7A6AC04">
      <w:start w:val="1"/>
      <w:numFmt w:val="bullet"/>
      <w:lvlText w:val=""/>
      <w:lvlJc w:val="left"/>
      <w:pPr>
        <w:tabs>
          <w:tab w:val="num" w:pos="1636"/>
        </w:tabs>
        <w:ind w:left="1503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1"/>
    <w:rsid w:val="0001469B"/>
    <w:rsid w:val="0007149B"/>
    <w:rsid w:val="00076E1A"/>
    <w:rsid w:val="000E0E70"/>
    <w:rsid w:val="00114227"/>
    <w:rsid w:val="0011586D"/>
    <w:rsid w:val="00116194"/>
    <w:rsid w:val="0014074E"/>
    <w:rsid w:val="00144D75"/>
    <w:rsid w:val="0016197B"/>
    <w:rsid w:val="001825A2"/>
    <w:rsid w:val="001A10C2"/>
    <w:rsid w:val="001B0FD2"/>
    <w:rsid w:val="001B6762"/>
    <w:rsid w:val="001D7533"/>
    <w:rsid w:val="001E3DA7"/>
    <w:rsid w:val="001E5D76"/>
    <w:rsid w:val="001F41FF"/>
    <w:rsid w:val="00204BD3"/>
    <w:rsid w:val="00277A3B"/>
    <w:rsid w:val="002943C1"/>
    <w:rsid w:val="002A7F20"/>
    <w:rsid w:val="003932BC"/>
    <w:rsid w:val="003A7663"/>
    <w:rsid w:val="003E3A71"/>
    <w:rsid w:val="00405261"/>
    <w:rsid w:val="00423343"/>
    <w:rsid w:val="004354F4"/>
    <w:rsid w:val="00525AC1"/>
    <w:rsid w:val="005356AE"/>
    <w:rsid w:val="005545C7"/>
    <w:rsid w:val="005740B3"/>
    <w:rsid w:val="0059188D"/>
    <w:rsid w:val="00607FD3"/>
    <w:rsid w:val="00653320"/>
    <w:rsid w:val="006773A5"/>
    <w:rsid w:val="00681FED"/>
    <w:rsid w:val="006C180D"/>
    <w:rsid w:val="006C6114"/>
    <w:rsid w:val="00815B37"/>
    <w:rsid w:val="00843C04"/>
    <w:rsid w:val="00884CBA"/>
    <w:rsid w:val="008F0390"/>
    <w:rsid w:val="009216AE"/>
    <w:rsid w:val="0098249B"/>
    <w:rsid w:val="009D4536"/>
    <w:rsid w:val="009F6E34"/>
    <w:rsid w:val="00A040E4"/>
    <w:rsid w:val="00A23BC5"/>
    <w:rsid w:val="00A60FFE"/>
    <w:rsid w:val="00A62A4C"/>
    <w:rsid w:val="00A84DF6"/>
    <w:rsid w:val="00AB3BA3"/>
    <w:rsid w:val="00AE1F44"/>
    <w:rsid w:val="00AE3BCB"/>
    <w:rsid w:val="00AF78C7"/>
    <w:rsid w:val="00B2085D"/>
    <w:rsid w:val="00B32BDD"/>
    <w:rsid w:val="00B63AF5"/>
    <w:rsid w:val="00BB42A2"/>
    <w:rsid w:val="00BD6D9F"/>
    <w:rsid w:val="00BF4E63"/>
    <w:rsid w:val="00C472A0"/>
    <w:rsid w:val="00C94E21"/>
    <w:rsid w:val="00CA6DFE"/>
    <w:rsid w:val="00CE6E1F"/>
    <w:rsid w:val="00CF4A9E"/>
    <w:rsid w:val="00D171C9"/>
    <w:rsid w:val="00D2377E"/>
    <w:rsid w:val="00D55FC3"/>
    <w:rsid w:val="00D84C9B"/>
    <w:rsid w:val="00D860EF"/>
    <w:rsid w:val="00DF1006"/>
    <w:rsid w:val="00E143F3"/>
    <w:rsid w:val="00E36BFA"/>
    <w:rsid w:val="00ED763A"/>
    <w:rsid w:val="00F35E12"/>
    <w:rsid w:val="00F5556F"/>
    <w:rsid w:val="00F801D6"/>
    <w:rsid w:val="00F8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E21B362"/>
  <w15:docId w15:val="{10E2EB53-2D05-494C-B493-DAEFAD9C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1239"/>
        <w:tab w:val="left" w:pos="3686"/>
        <w:tab w:val="right" w:pos="8845"/>
      </w:tabs>
      <w:spacing w:line="360" w:lineRule="exact"/>
    </w:pPr>
    <w:rPr>
      <w:rFonts w:ascii="Univers" w:hAnsi="Univers"/>
      <w:sz w:val="22"/>
      <w:szCs w:val="24"/>
    </w:rPr>
  </w:style>
  <w:style w:type="paragraph" w:styleId="berschrift1">
    <w:name w:val="heading 1"/>
    <w:basedOn w:val="Standard"/>
    <w:next w:val="Grundtext"/>
    <w:qFormat/>
    <w:pPr>
      <w:keepNext/>
      <w:spacing w:after="3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link w:val="GrundtextZchn"/>
    <w:pPr>
      <w:tabs>
        <w:tab w:val="clear" w:pos="1239"/>
        <w:tab w:val="clear" w:pos="3686"/>
        <w:tab w:val="clear" w:pos="8845"/>
      </w:tabs>
      <w:spacing w:after="280"/>
    </w:pPr>
  </w:style>
  <w:style w:type="paragraph" w:styleId="Datum">
    <w:name w:val="Date"/>
    <w:basedOn w:val="Standard"/>
    <w:next w:val="Betreff"/>
    <w:pPr>
      <w:spacing w:after="280"/>
    </w:pPr>
  </w:style>
  <w:style w:type="paragraph" w:customStyle="1" w:styleId="Betreff">
    <w:name w:val="Betreff"/>
    <w:basedOn w:val="Standard"/>
    <w:pPr>
      <w:spacing w:after="280"/>
    </w:pPr>
    <w:rPr>
      <w:b/>
    </w:rPr>
  </w:style>
  <w:style w:type="paragraph" w:customStyle="1" w:styleId="Adressen">
    <w:name w:val="Adressen"/>
    <w:basedOn w:val="Standard"/>
  </w:style>
  <w:style w:type="paragraph" w:customStyle="1" w:styleId="AufzhlungMitPunkt">
    <w:name w:val="AufzählungMitPunkt"/>
    <w:basedOn w:val="Grundtext"/>
    <w:pPr>
      <w:numPr>
        <w:numId w:val="2"/>
      </w:numPr>
      <w:tabs>
        <w:tab w:val="num" w:pos="357"/>
      </w:tabs>
      <w:spacing w:after="0" w:line="264" w:lineRule="auto"/>
      <w:ind w:left="357" w:hanging="357"/>
    </w:pPr>
  </w:style>
  <w:style w:type="paragraph" w:customStyle="1" w:styleId="EingercktOhnePunkt">
    <w:name w:val="EingerücktOhnePunkt"/>
    <w:basedOn w:val="Grundtext"/>
    <w:pPr>
      <w:spacing w:after="0" w:line="264" w:lineRule="auto"/>
      <w:ind w:left="714"/>
    </w:pPr>
  </w:style>
  <w:style w:type="table" w:styleId="Tabellenraster">
    <w:name w:val="Table Grid"/>
    <w:basedOn w:val="NormaleTabelle"/>
    <w:rsid w:val="004354F4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4354F4"/>
    <w:rPr>
      <w:rFonts w:ascii="Univers" w:hAnsi="Univers"/>
      <w:sz w:val="22"/>
      <w:szCs w:val="24"/>
      <w:lang w:val="de-DE" w:eastAsia="de-DE" w:bidi="ar-SA"/>
    </w:rPr>
  </w:style>
  <w:style w:type="paragraph" w:styleId="StandardWeb">
    <w:name w:val="Normal (Web)"/>
    <w:basedOn w:val="Standard"/>
    <w:rsid w:val="0016197B"/>
    <w:pPr>
      <w:tabs>
        <w:tab w:val="clear" w:pos="1239"/>
        <w:tab w:val="clear" w:pos="3686"/>
        <w:tab w:val="clear" w:pos="8845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sid w:val="00D860EF"/>
    <w:rPr>
      <w:color w:val="0000FF"/>
      <w:u w:val="single"/>
    </w:rPr>
  </w:style>
  <w:style w:type="paragraph" w:styleId="Kopfzeile">
    <w:name w:val="header"/>
    <w:basedOn w:val="Standard"/>
    <w:link w:val="Kopf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171C9"/>
    <w:rPr>
      <w:rFonts w:ascii="Univers" w:hAnsi="Univers"/>
      <w:sz w:val="22"/>
      <w:szCs w:val="24"/>
    </w:rPr>
  </w:style>
  <w:style w:type="paragraph" w:styleId="Fuzeile">
    <w:name w:val="footer"/>
    <w:basedOn w:val="Standard"/>
    <w:link w:val="Fu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171C9"/>
    <w:rPr>
      <w:rFonts w:ascii="Univers" w:hAnsi="Univers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40B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1E5D7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E5D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E5D76"/>
    <w:rPr>
      <w:rFonts w:ascii="Univers" w:hAnsi="Univer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E5D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E5D76"/>
    <w:rPr>
      <w:rFonts w:ascii="Univers" w:hAnsi="Univers"/>
      <w:b/>
      <w:bCs/>
    </w:rPr>
  </w:style>
  <w:style w:type="paragraph" w:styleId="berarbeitung">
    <w:name w:val="Revision"/>
    <w:hidden/>
    <w:uiPriority w:val="99"/>
    <w:semiHidden/>
    <w:rsid w:val="001E5D76"/>
    <w:rPr>
      <w:rFonts w:ascii="Univers" w:hAnsi="Univers"/>
      <w:sz w:val="22"/>
      <w:szCs w:val="24"/>
    </w:rPr>
  </w:style>
  <w:style w:type="paragraph" w:styleId="Sprechblasentext">
    <w:name w:val="Balloon Text"/>
    <w:basedOn w:val="Standard"/>
    <w:link w:val="SprechblasentextZchn"/>
    <w:rsid w:val="001E5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E5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phan.moll@bfach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BFACH">
      <a:dk1>
        <a:srgbClr val="000000"/>
      </a:dk1>
      <a:lt1>
        <a:srgbClr val="FFFFFF"/>
      </a:lt1>
      <a:dk2>
        <a:srgbClr val="FFFFFF"/>
      </a:dk2>
      <a:lt2>
        <a:srgbClr val="000000"/>
      </a:lt2>
      <a:accent1>
        <a:srgbClr val="000000"/>
      </a:accent1>
      <a:accent2>
        <a:srgbClr val="004E9E"/>
      </a:accent2>
      <a:accent3>
        <a:srgbClr val="AB0059"/>
      </a:accent3>
      <a:accent4>
        <a:srgbClr val="808080"/>
      </a:accent4>
      <a:accent5>
        <a:srgbClr val="FF0000"/>
      </a:accent5>
      <a:accent6>
        <a:srgbClr val="0000FF"/>
      </a:accent6>
      <a:hlink>
        <a:srgbClr val="004E9E"/>
      </a:hlink>
      <a:folHlink>
        <a:srgbClr val="AB0059"/>
      </a:folHlink>
    </a:clrScheme>
    <a:fontScheme name="BFACH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Adresse1</vt:lpstr>
    </vt:vector>
  </TitlesOfParts>
  <Company/>
  <LinksUpToDate>false</LinksUpToDate>
  <CharactersWithSpaces>2751</CharactersWithSpaces>
  <SharedDoc>false</SharedDoc>
  <HLinks>
    <vt:vector size="6" baseType="variant">
      <vt:variant>
        <vt:i4>8192013</vt:i4>
      </vt:variant>
      <vt:variant>
        <vt:i4>0</vt:i4>
      </vt:variant>
      <vt:variant>
        <vt:i4>0</vt:i4>
      </vt:variant>
      <vt:variant>
        <vt:i4>5</vt:i4>
      </vt:variant>
      <vt:variant>
        <vt:lpwstr>mailto:stephan.moll@bfach.de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Adresse1</dc:title>
  <dc:creator>Elke Haag</dc:creator>
  <cp:lastModifiedBy>Nermana Ljubuncic</cp:lastModifiedBy>
  <cp:revision>4</cp:revision>
  <cp:lastPrinted>2006-06-06T20:58:00Z</cp:lastPrinted>
  <dcterms:created xsi:type="dcterms:W3CDTF">2023-03-27T07:31:00Z</dcterms:created>
  <dcterms:modified xsi:type="dcterms:W3CDTF">2023-03-29T10:43:00Z</dcterms:modified>
</cp:coreProperties>
</file>