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33" w:rsidRPr="00A10B11" w:rsidRDefault="00C15486" w:rsidP="00CF23A3">
      <w:pPr>
        <w:pStyle w:val="berschrift1"/>
        <w:keepNext w:val="0"/>
        <w:suppressAutoHyphens/>
      </w:pPr>
      <w:r>
        <w:t xml:space="preserve">Jahreszahlen </w:t>
      </w:r>
      <w:r w:rsidR="00627F38">
        <w:t xml:space="preserve">zur Finanzierung </w:t>
      </w:r>
      <w:r>
        <w:t>2023: Kreditbanken steigern Bestand um acht Prozent | Neugeschäft auf Vorjahresniveau</w:t>
      </w:r>
      <w:r w:rsidR="00642C46">
        <w:t xml:space="preserve"> | Plus bei Kfz-</w:t>
      </w:r>
      <w:r w:rsidR="00627F38">
        <w:t>Krediten</w:t>
      </w:r>
    </w:p>
    <w:p w:rsidR="00A1483C" w:rsidRDefault="00C15486" w:rsidP="00A1483C">
      <w:pPr>
        <w:pStyle w:val="Grundtext"/>
        <w:suppressAutoHyphens/>
        <w:spacing w:after="360"/>
      </w:pPr>
      <w:r w:rsidRPr="00627F38">
        <w:t>Berlin</w:t>
      </w:r>
      <w:r w:rsidR="00F71441" w:rsidRPr="00627F38">
        <w:t xml:space="preserve">, </w:t>
      </w:r>
      <w:r w:rsidR="005971B7">
        <w:t>10</w:t>
      </w:r>
      <w:r w:rsidR="00A1483C">
        <w:t xml:space="preserve">. April 2024. Die auf Finanzierungen spezialisierten Kreditbanken in Deutschland hatten zum 31.12.2023 insgesamt Kredite im Wert von 195,5 Milliarden Euro an Unternehmen und Verbraucher vergeben. Sie konnten damit ihren konsolidierten Kreditbestand innerhalb eines Jahres weiter um 8,0 Prozent ausbauen. Das Bestandswachstum zeigt sich sowohl in ihren Hauptgeschäftsfeldern Konsum- und Investitionsfinanzierung, zu denen auch die Finanzierung von Kraftfahrzeugen zählt, als auch in der Einkaufsfinanzierung und dem Forderungsankauf. </w:t>
      </w:r>
    </w:p>
    <w:p w:rsidR="00A1483C" w:rsidRPr="00827028" w:rsidRDefault="00A1483C" w:rsidP="00A1483C">
      <w:pPr>
        <w:pStyle w:val="Grundtext"/>
        <w:spacing w:after="360"/>
      </w:pPr>
      <w:r>
        <w:t xml:space="preserve">Ihr gesamtes </w:t>
      </w:r>
      <w:r w:rsidRPr="00827028">
        <w:t>Kreditneugeschäft belief sich im Jahr 2023 auf 127,3 Milliarden Euro. Das entspricht mit einem leichten Rückgang um 0,5 Prozent annähend dem Vorjahresniveau. „Angesichts der herausfordernden wirtschaftlichen Lage und des gedrückten Konsumklimas ist das ein zufriedenstellendes Ergebnis“, sagt Christian Ruben, Vorstandsvorsitzender des Bankenfachverbandes.</w:t>
      </w:r>
    </w:p>
    <w:p w:rsidR="00A1483C" w:rsidRPr="00827028" w:rsidRDefault="00A1483C" w:rsidP="00A1483C">
      <w:pPr>
        <w:pStyle w:val="Grundtext"/>
        <w:spacing w:after="360"/>
        <w:rPr>
          <w:b/>
        </w:rPr>
      </w:pPr>
      <w:r w:rsidRPr="00827028">
        <w:rPr>
          <w:b/>
        </w:rPr>
        <w:t>Mehr Investitions-, weniger Konsumfinanzierungen</w:t>
      </w:r>
    </w:p>
    <w:p w:rsidR="00A1483C" w:rsidRPr="00827028" w:rsidRDefault="00A1483C" w:rsidP="00A1483C">
      <w:pPr>
        <w:pStyle w:val="Grundtext"/>
        <w:spacing w:after="360"/>
      </w:pPr>
      <w:r w:rsidRPr="00827028">
        <w:t>Das Neugeschäft entwickelte sich in den einzelnen Geschäftsbereichen unterschiedlich. Ihre Investitionsfinanzierungen für Unternehmen bauten die Kreditbanken in 2023 um 7,3 Prozent auf 11,0 Milliarden Euro aus. Im Bereich Konsumfinanzierung für Verbraucher lag ihr Neugeschäft bei 52,7 Milliarden Euro und damit 7,3 Prozent unter de</w:t>
      </w:r>
      <w:r w:rsidR="0050046E" w:rsidRPr="00827028">
        <w:t>m</w:t>
      </w:r>
      <w:r w:rsidRPr="00827028">
        <w:t xml:space="preserve"> starken Vorjahreswert. Zurückgegangen sind darunter insbesondere Barkredite zur freien Verwendung, während private Kfz-Finanzierungen relativ stabil blieben. „Verbraucher haben zwar ihre Ausgaben eingeschränkt, aber weiterhin in Konsumgüter investiert und diese finanziert“, so Ruben.</w:t>
      </w:r>
    </w:p>
    <w:p w:rsidR="00A1483C" w:rsidRPr="00827028" w:rsidRDefault="00A1483C" w:rsidP="00A1483C">
      <w:pPr>
        <w:pStyle w:val="Grundtext"/>
        <w:spacing w:after="360"/>
        <w:rPr>
          <w:b/>
        </w:rPr>
      </w:pPr>
      <w:r w:rsidRPr="00827028">
        <w:rPr>
          <w:b/>
        </w:rPr>
        <w:t>1,9 Prozent mehr Kredite</w:t>
      </w:r>
      <w:r w:rsidR="00383B82" w:rsidRPr="00827028">
        <w:rPr>
          <w:b/>
        </w:rPr>
        <w:t xml:space="preserve"> für Kraftfahrzeuge</w:t>
      </w:r>
    </w:p>
    <w:p w:rsidR="00A1483C" w:rsidRDefault="00A1483C" w:rsidP="00A1483C">
      <w:pPr>
        <w:pStyle w:val="Grundtext"/>
        <w:spacing w:after="360"/>
      </w:pPr>
      <w:r w:rsidRPr="00827028">
        <w:t xml:space="preserve">In 2023 vergaben die Kreditbanken Kfz-Kredite im Wert von 23,3 Milliarden Euro an private und gewerbliche Kunden. Das entspricht einem Plus von 1,9 Prozent zum </w:t>
      </w:r>
      <w:r w:rsidRPr="00827028">
        <w:lastRenderedPageBreak/>
        <w:t>Vorjahr. Gewachsen sind insbesondere gewerbliche Kfz-Kredite, die um 12,3 Prozent zulegten. Private Kfz-Kredite gingen dagegen um 1,1 Prozent leicht zurück. Insgesamt finanzierten die Kreditbanken in 2023 rund 1,6 Millionen Kraftfahrzeuge, darunter 1,1 Millionen per Kredit und 0,5 Millionen per Leasing. Während der Anteil kreditfinanzierter Kfz um 1,8 Prozent rückläufig war, gewann der Leasing-Anteil um 4,4 Prozent. „</w:t>
      </w:r>
      <w:r w:rsidR="000D0726" w:rsidRPr="00827028">
        <w:t>Zur</w:t>
      </w:r>
      <w:r w:rsidR="00383B82" w:rsidRPr="00827028">
        <w:t xml:space="preserve"> Anschaffung von</w:t>
      </w:r>
      <w:r w:rsidRPr="00827028">
        <w:t xml:space="preserve"> Elektro</w:t>
      </w:r>
      <w:r w:rsidR="00383B82" w:rsidRPr="00827028">
        <w:t>-Fahrzeugen</w:t>
      </w:r>
      <w:r w:rsidRPr="00827028">
        <w:t xml:space="preserve"> </w:t>
      </w:r>
      <w:r w:rsidR="00A4186E" w:rsidRPr="00827028">
        <w:t>n</w:t>
      </w:r>
      <w:r w:rsidR="00955CE2" w:rsidRPr="00827028">
        <w:t>utzen Unternehmen und Verbraucher</w:t>
      </w:r>
      <w:r w:rsidRPr="00827028">
        <w:t xml:space="preserve"> verstärkt Leasing“, erläutert</w:t>
      </w:r>
      <w:r>
        <w:t xml:space="preserve"> Ruben.</w:t>
      </w:r>
    </w:p>
    <w:p w:rsidR="001D7533" w:rsidRPr="00FE0F43" w:rsidRDefault="00C15486" w:rsidP="00A1483C">
      <w:pPr>
        <w:pStyle w:val="Grundtext"/>
        <w:spacing w:after="360" w:line="240" w:lineRule="exact"/>
        <w:rPr>
          <w:sz w:val="16"/>
          <w:szCs w:val="16"/>
        </w:rPr>
      </w:pPr>
      <w:r w:rsidRPr="003A1675">
        <w:rPr>
          <w:b/>
          <w:sz w:val="18"/>
          <w:szCs w:val="18"/>
        </w:rPr>
        <w:t xml:space="preserve">Der Bankenfachverband (BFACH) </w:t>
      </w:r>
      <w:r w:rsidRPr="003A1675">
        <w:rPr>
          <w:sz w:val="18"/>
          <w:szCs w:val="18"/>
        </w:rPr>
        <w:t>vertritt die Interessen der Kreditbanken in Deutschland</w:t>
      </w:r>
      <w:r>
        <w:rPr>
          <w:sz w:val="18"/>
          <w:szCs w:val="18"/>
        </w:rPr>
        <w:t xml:space="preserve"> – seit 75 Jahren</w:t>
      </w:r>
      <w:r w:rsidRPr="003A1675">
        <w:rPr>
          <w:sz w:val="18"/>
          <w:szCs w:val="18"/>
        </w:rPr>
        <w:t>. Seine Mitglieder sind die Experten für die Finanzierung von Konsum- und Investitionsgütern wie Kraftfahrzeugen aller Art. Die Kreditbanken haben mehr als 1</w:t>
      </w:r>
      <w:r>
        <w:rPr>
          <w:sz w:val="18"/>
          <w:szCs w:val="18"/>
        </w:rPr>
        <w:t>95</w:t>
      </w:r>
      <w:r w:rsidRPr="003A1675">
        <w:rPr>
          <w:sz w:val="18"/>
          <w:szCs w:val="18"/>
        </w:rPr>
        <w:t xml:space="preserve"> Milliarden Euro an Verbraucher und Unternehmen ausgeliehen und fördern damit Wirtschaft und Konjunktur.</w:t>
      </w:r>
      <w:r w:rsidR="00314A84">
        <w:rPr>
          <w:b/>
          <w:sz w:val="18"/>
          <w:szCs w:val="18"/>
        </w:rPr>
        <w:br/>
      </w:r>
      <w:r w:rsidR="00A1483C">
        <w:rPr>
          <w:b/>
          <w:sz w:val="16"/>
          <w:szCs w:val="16"/>
        </w:rPr>
        <w:br/>
      </w:r>
      <w:r w:rsidR="00D171C9" w:rsidRPr="00F71441">
        <w:rPr>
          <w:b/>
          <w:sz w:val="16"/>
          <w:szCs w:val="16"/>
        </w:rPr>
        <w:t>Anlagen</w:t>
      </w:r>
      <w:r w:rsidR="00F71441" w:rsidRPr="00513D0D">
        <w:rPr>
          <w:sz w:val="16"/>
          <w:szCs w:val="16"/>
        </w:rPr>
        <w:t>:</w:t>
      </w:r>
      <w:r w:rsidR="00A1483C" w:rsidRPr="00513D0D">
        <w:rPr>
          <w:sz w:val="16"/>
          <w:szCs w:val="16"/>
        </w:rPr>
        <w:t xml:space="preserve"> </w:t>
      </w:r>
      <w:hyperlink r:id="rId7" w:history="1">
        <w:r w:rsidR="00FE0F43" w:rsidRPr="00513D0D">
          <w:rPr>
            <w:rStyle w:val="Hyperlink"/>
            <w:sz w:val="16"/>
            <w:szCs w:val="16"/>
          </w:rPr>
          <w:t>Jahreskennzahlen 2023 zur Geschäftsentwicklung der Kreditbanken</w:t>
        </w:r>
      </w:hyperlink>
      <w:bookmarkStart w:id="0" w:name="_GoBack"/>
      <w:bookmarkEnd w:id="0"/>
      <w:r w:rsidR="00FE0F43" w:rsidRPr="008853FB">
        <w:rPr>
          <w:sz w:val="16"/>
          <w:szCs w:val="16"/>
        </w:rPr>
        <w:br/>
      </w:r>
      <w:r w:rsidR="00FE0F43" w:rsidRPr="008853FB">
        <w:rPr>
          <w:b/>
          <w:sz w:val="16"/>
          <w:szCs w:val="16"/>
        </w:rPr>
        <w:t>Links:</w:t>
      </w:r>
      <w:r w:rsidR="00FE0F43" w:rsidRPr="008853FB">
        <w:rPr>
          <w:sz w:val="16"/>
          <w:szCs w:val="16"/>
        </w:rPr>
        <w:t xml:space="preserve"> </w:t>
      </w:r>
      <w:hyperlink r:id="rId8" w:history="1">
        <w:r w:rsidR="00FE0F43" w:rsidRPr="008853FB">
          <w:rPr>
            <w:rStyle w:val="Hyperlink"/>
            <w:sz w:val="16"/>
            <w:szCs w:val="16"/>
          </w:rPr>
          <w:t>Mitgliedsinstitute des Bankenfachverbandes</w:t>
        </w:r>
        <w:r w:rsidR="0055419B" w:rsidRPr="008853FB">
          <w:rPr>
            <w:rStyle w:val="Hyperlink"/>
            <w:sz w:val="16"/>
            <w:szCs w:val="16"/>
          </w:rPr>
          <w:t xml:space="preserve"> (Kreditbanken)</w:t>
        </w:r>
      </w:hyperlink>
      <w:r w:rsidR="00D171C9" w:rsidRPr="008853FB">
        <w:rPr>
          <w:sz w:val="16"/>
          <w:szCs w:val="16"/>
        </w:rPr>
        <w:br/>
      </w:r>
      <w:r w:rsidR="00D171C9" w:rsidRPr="008853FB">
        <w:rPr>
          <w:b/>
          <w:sz w:val="16"/>
          <w:szCs w:val="16"/>
        </w:rPr>
        <w:t>Textfassung</w:t>
      </w:r>
      <w:r w:rsidR="00D171C9" w:rsidRPr="008853FB">
        <w:rPr>
          <w:sz w:val="16"/>
          <w:szCs w:val="16"/>
        </w:rPr>
        <w:t xml:space="preserve">: </w:t>
      </w:r>
      <w:r w:rsidR="00D171C9" w:rsidRPr="0080644B">
        <w:rPr>
          <w:sz w:val="16"/>
          <w:szCs w:val="16"/>
        </w:rPr>
        <w:t xml:space="preserve">www.bfach.de / Presse / </w:t>
      </w:r>
      <w:r w:rsidR="00827028" w:rsidRPr="0080644B">
        <w:rPr>
          <w:sz w:val="16"/>
          <w:szCs w:val="16"/>
        </w:rPr>
        <w:t>10</w:t>
      </w:r>
      <w:r w:rsidR="00F71441" w:rsidRPr="0080644B">
        <w:rPr>
          <w:sz w:val="16"/>
          <w:szCs w:val="16"/>
        </w:rPr>
        <w:t>.</w:t>
      </w:r>
      <w:r w:rsidR="00A1483C" w:rsidRPr="0080644B">
        <w:rPr>
          <w:sz w:val="16"/>
          <w:szCs w:val="16"/>
        </w:rPr>
        <w:t>04</w:t>
      </w:r>
      <w:r w:rsidR="00F71441" w:rsidRPr="0080644B">
        <w:rPr>
          <w:sz w:val="16"/>
          <w:szCs w:val="16"/>
        </w:rPr>
        <w:t>.</w:t>
      </w:r>
      <w:r w:rsidR="00A47F5D" w:rsidRPr="0080644B">
        <w:rPr>
          <w:sz w:val="16"/>
          <w:szCs w:val="16"/>
        </w:rPr>
        <w:t>2</w:t>
      </w:r>
      <w:r w:rsidR="00A1483C" w:rsidRPr="0080644B">
        <w:rPr>
          <w:sz w:val="16"/>
          <w:szCs w:val="16"/>
        </w:rPr>
        <w:t>4</w:t>
      </w:r>
      <w:r w:rsidR="00D171C9" w:rsidRPr="008853FB">
        <w:rPr>
          <w:sz w:val="16"/>
          <w:szCs w:val="16"/>
        </w:rPr>
        <w:br/>
      </w:r>
      <w:r w:rsidR="00FE0F43" w:rsidRPr="008853FB">
        <w:rPr>
          <w:b/>
          <w:sz w:val="16"/>
          <w:szCs w:val="16"/>
        </w:rPr>
        <w:t xml:space="preserve">Hinweis: </w:t>
      </w:r>
      <w:r w:rsidR="00FE0F43" w:rsidRPr="008853FB">
        <w:rPr>
          <w:sz w:val="16"/>
          <w:szCs w:val="16"/>
        </w:rPr>
        <w:t>Daten ohne Inflationsbereinigung</w:t>
      </w:r>
      <w:r w:rsidR="00FE0F43">
        <w:rPr>
          <w:b/>
          <w:sz w:val="16"/>
          <w:szCs w:val="16"/>
        </w:rPr>
        <w:br/>
      </w:r>
      <w:r w:rsidR="00D171C9" w:rsidRPr="00F71441">
        <w:rPr>
          <w:b/>
          <w:sz w:val="16"/>
          <w:szCs w:val="16"/>
        </w:rPr>
        <w:t xml:space="preserve">Kontakt: </w:t>
      </w:r>
      <w:r w:rsidR="00D171C9" w:rsidRPr="00F71441">
        <w:rPr>
          <w:sz w:val="16"/>
          <w:szCs w:val="16"/>
        </w:rPr>
        <w:t xml:space="preserve">Bankenfachverband, Stephan Moll, Leiter Markt und PR, Tel. 030 2462596-14, </w:t>
      </w:r>
      <w:hyperlink r:id="rId9" w:history="1">
        <w:r w:rsidR="00603C18" w:rsidRPr="00F71441">
          <w:rPr>
            <w:rStyle w:val="Hyperlink"/>
            <w:sz w:val="16"/>
            <w:szCs w:val="16"/>
          </w:rPr>
          <w:t>stephan.moll@bfach.de</w:t>
        </w:r>
      </w:hyperlink>
    </w:p>
    <w:sectPr w:rsidR="001D7533" w:rsidRPr="00FE0F43">
      <w:headerReference w:type="even" r:id="rId10"/>
      <w:headerReference w:type="default" r:id="rId11"/>
      <w:footerReference w:type="even" r:id="rId12"/>
      <w:footerReference w:type="default" r:id="rId13"/>
      <w:headerReference w:type="first" r:id="rId14"/>
      <w:footerReference w:type="first" r:id="rId15"/>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6D" w:rsidRDefault="00A4786D">
      <w:r>
        <w:separator/>
      </w:r>
    </w:p>
  </w:endnote>
  <w:endnote w:type="continuationSeparator" w:id="0">
    <w:p w:rsidR="00A4786D" w:rsidRDefault="00A4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74" w:rsidRDefault="004333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825A2">
    <w:pPr>
      <w:jc w:val="right"/>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15" w:rsidRDefault="00881815">
    <w:pPr>
      <w:pStyle w:val="Fuzeile"/>
    </w:pPr>
    <w:r>
      <w:rPr>
        <w:noProof/>
      </w:rPr>
      <w:drawing>
        <wp:anchor distT="0" distB="0" distL="114300" distR="114300" simplePos="0" relativeHeight="251660800" behindDoc="1" locked="0" layoutInCell="1" allowOverlap="1" wp14:anchorId="0061F7FA" wp14:editId="4972E5BF">
          <wp:simplePos x="0" y="0"/>
          <wp:positionH relativeFrom="column">
            <wp:posOffset>-1108710</wp:posOffset>
          </wp:positionH>
          <wp:positionV relativeFrom="paragraph">
            <wp:posOffset>-21590</wp:posOffset>
          </wp:positionV>
          <wp:extent cx="7606800" cy="63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eine Fußzeile.jpg"/>
                  <pic:cNvPicPr/>
                </pic:nvPicPr>
                <pic:blipFill>
                  <a:blip r:embed="rId1">
                    <a:extLst>
                      <a:ext uri="{28A0092B-C50C-407E-A947-70E740481C1C}">
                        <a14:useLocalDpi xmlns:a14="http://schemas.microsoft.com/office/drawing/2010/main" val="0"/>
                      </a:ext>
                    </a:extLst>
                  </a:blip>
                  <a:stretch>
                    <a:fillRect/>
                  </a:stretch>
                </pic:blipFill>
                <pic:spPr>
                  <a:xfrm>
                    <a:off x="0" y="0"/>
                    <a:ext cx="76068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6D" w:rsidRDefault="00A4786D">
      <w:r>
        <w:separator/>
      </w:r>
    </w:p>
  </w:footnote>
  <w:footnote w:type="continuationSeparator" w:id="0">
    <w:p w:rsidR="00A4786D" w:rsidRDefault="00A4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74" w:rsidRDefault="004333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8752" behindDoc="0" locked="1" layoutInCell="1" allowOverlap="1" wp14:anchorId="32F01FC3" wp14:editId="40FF3A2E">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433374">
    <w:r>
      <w:rPr>
        <w:noProof/>
        <w:sz w:val="20"/>
      </w:rPr>
      <w:drawing>
        <wp:anchor distT="0" distB="0" distL="114300" distR="114300" simplePos="0" relativeHeight="251661824" behindDoc="0" locked="0" layoutInCell="1" allowOverlap="1">
          <wp:simplePos x="0" y="0"/>
          <wp:positionH relativeFrom="column">
            <wp:posOffset>3491230</wp:posOffset>
          </wp:positionH>
          <wp:positionV relativeFrom="paragraph">
            <wp:posOffset>-1137920</wp:posOffset>
          </wp:positionV>
          <wp:extent cx="2642141" cy="1057275"/>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124_BFACH_75_CMYK_DRU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141" cy="1057275"/>
                  </a:xfrm>
                  <a:prstGeom prst="rect">
                    <a:avLst/>
                  </a:prstGeom>
                </pic:spPr>
              </pic:pic>
            </a:graphicData>
          </a:graphic>
          <wp14:sizeRelH relativeFrom="page">
            <wp14:pctWidth>0</wp14:pctWidth>
          </wp14:sizeRelH>
          <wp14:sizeRelV relativeFrom="page">
            <wp14:pctHeight>0</wp14:pctHeight>
          </wp14:sizeRelV>
        </wp:anchor>
      </w:drawing>
    </w:r>
    <w:r w:rsidR="001B6762">
      <w:rPr>
        <w:noProof/>
        <w:sz w:val="20"/>
      </w:rPr>
      <w:drawing>
        <wp:anchor distT="0" distB="0" distL="114300" distR="114300" simplePos="0" relativeHeight="251656704" behindDoc="0" locked="1" layoutInCell="1" allowOverlap="1" wp14:anchorId="2D3B070D" wp14:editId="4C8A5829">
          <wp:simplePos x="0" y="0"/>
          <wp:positionH relativeFrom="page">
            <wp:posOffset>-5080</wp:posOffset>
          </wp:positionH>
          <wp:positionV relativeFrom="page">
            <wp:posOffset>-9525</wp:posOffset>
          </wp:positionV>
          <wp:extent cx="7581900" cy="1972945"/>
          <wp:effectExtent l="0" t="0" r="0" b="825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rotWithShape="1">
                  <a:blip r:embed="rId2">
                    <a:extLst>
                      <a:ext uri="{28A0092B-C50C-407E-A947-70E740481C1C}">
                        <a14:useLocalDpi xmlns:a14="http://schemas.microsoft.com/office/drawing/2010/main" val="0"/>
                      </a:ext>
                    </a:extLst>
                  </a:blip>
                  <a:srcRect b="81619"/>
                  <a:stretch/>
                </pic:blipFill>
                <pic:spPr bwMode="auto">
                  <a:xfrm>
                    <a:off x="0" y="0"/>
                    <a:ext cx="7581900"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6D"/>
    <w:rsid w:val="0007149B"/>
    <w:rsid w:val="0009102C"/>
    <w:rsid w:val="000D0726"/>
    <w:rsid w:val="000D4B9C"/>
    <w:rsid w:val="00114227"/>
    <w:rsid w:val="0016197B"/>
    <w:rsid w:val="001825A2"/>
    <w:rsid w:val="001A10C2"/>
    <w:rsid w:val="001B6762"/>
    <w:rsid w:val="001D7533"/>
    <w:rsid w:val="001F41FF"/>
    <w:rsid w:val="00272D13"/>
    <w:rsid w:val="00277A3B"/>
    <w:rsid w:val="002943C1"/>
    <w:rsid w:val="00314A84"/>
    <w:rsid w:val="00383B82"/>
    <w:rsid w:val="00384BD3"/>
    <w:rsid w:val="003932BC"/>
    <w:rsid w:val="003A1675"/>
    <w:rsid w:val="003C41AF"/>
    <w:rsid w:val="003E3A71"/>
    <w:rsid w:val="00405261"/>
    <w:rsid w:val="00423343"/>
    <w:rsid w:val="00433374"/>
    <w:rsid w:val="004354F4"/>
    <w:rsid w:val="00472BB4"/>
    <w:rsid w:val="004F76EE"/>
    <w:rsid w:val="0050046E"/>
    <w:rsid w:val="00513D0D"/>
    <w:rsid w:val="00525AC1"/>
    <w:rsid w:val="0055419B"/>
    <w:rsid w:val="00565C3C"/>
    <w:rsid w:val="00587B6B"/>
    <w:rsid w:val="00594916"/>
    <w:rsid w:val="005971B7"/>
    <w:rsid w:val="005E5D59"/>
    <w:rsid w:val="00603C18"/>
    <w:rsid w:val="00607FD3"/>
    <w:rsid w:val="00627F38"/>
    <w:rsid w:val="00642C46"/>
    <w:rsid w:val="006803FF"/>
    <w:rsid w:val="00691E04"/>
    <w:rsid w:val="006930F6"/>
    <w:rsid w:val="006C180D"/>
    <w:rsid w:val="006C6114"/>
    <w:rsid w:val="006E6D44"/>
    <w:rsid w:val="0071716D"/>
    <w:rsid w:val="007474DA"/>
    <w:rsid w:val="00771BD5"/>
    <w:rsid w:val="00787795"/>
    <w:rsid w:val="00795569"/>
    <w:rsid w:val="007A35F1"/>
    <w:rsid w:val="007B6AA1"/>
    <w:rsid w:val="007C496F"/>
    <w:rsid w:val="0080644B"/>
    <w:rsid w:val="00815B37"/>
    <w:rsid w:val="00826CEA"/>
    <w:rsid w:val="00827028"/>
    <w:rsid w:val="00843C04"/>
    <w:rsid w:val="00845E2D"/>
    <w:rsid w:val="00856D2C"/>
    <w:rsid w:val="00881815"/>
    <w:rsid w:val="00884CBA"/>
    <w:rsid w:val="008853FB"/>
    <w:rsid w:val="009216AE"/>
    <w:rsid w:val="00955CE2"/>
    <w:rsid w:val="009A47F0"/>
    <w:rsid w:val="00A040E4"/>
    <w:rsid w:val="00A10B11"/>
    <w:rsid w:val="00A1483C"/>
    <w:rsid w:val="00A4186E"/>
    <w:rsid w:val="00A4786D"/>
    <w:rsid w:val="00A47F5D"/>
    <w:rsid w:val="00A62A4C"/>
    <w:rsid w:val="00AA5A54"/>
    <w:rsid w:val="00AE27F3"/>
    <w:rsid w:val="00AE3BCB"/>
    <w:rsid w:val="00B96E8F"/>
    <w:rsid w:val="00BF7408"/>
    <w:rsid w:val="00C15486"/>
    <w:rsid w:val="00C31A1A"/>
    <w:rsid w:val="00C91AC3"/>
    <w:rsid w:val="00CE6E1F"/>
    <w:rsid w:val="00CF20D9"/>
    <w:rsid w:val="00CF23A3"/>
    <w:rsid w:val="00D171C9"/>
    <w:rsid w:val="00D55FC3"/>
    <w:rsid w:val="00D71B3E"/>
    <w:rsid w:val="00D80504"/>
    <w:rsid w:val="00D808A1"/>
    <w:rsid w:val="00D860EF"/>
    <w:rsid w:val="00D94ECC"/>
    <w:rsid w:val="00DF1006"/>
    <w:rsid w:val="00E04FD9"/>
    <w:rsid w:val="00E36BFA"/>
    <w:rsid w:val="00EB2F09"/>
    <w:rsid w:val="00ED0A11"/>
    <w:rsid w:val="00F3533E"/>
    <w:rsid w:val="00F71441"/>
    <w:rsid w:val="00F77C49"/>
    <w:rsid w:val="00F8701A"/>
    <w:rsid w:val="00FA279B"/>
    <w:rsid w:val="00FD1218"/>
    <w:rsid w:val="00FE0F43"/>
    <w:rsid w:val="00FE2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06955AB-7032-4A74-BA84-424F641B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customStyle="1" w:styleId="NichtaufgelsteErwhnung1">
    <w:name w:val="Nicht aufgelöste Erwähnung1"/>
    <w:basedOn w:val="Absatz-Standardschriftart"/>
    <w:uiPriority w:val="99"/>
    <w:semiHidden/>
    <w:unhideWhenUsed/>
    <w:rsid w:val="00603C18"/>
    <w:rPr>
      <w:color w:val="605E5C"/>
      <w:shd w:val="clear" w:color="auto" w:fill="E1DFDD"/>
    </w:rPr>
  </w:style>
  <w:style w:type="paragraph" w:styleId="Sprechblasentext">
    <w:name w:val="Balloon Text"/>
    <w:basedOn w:val="Standard"/>
    <w:link w:val="SprechblasentextZchn"/>
    <w:rsid w:val="004333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3374"/>
    <w:rPr>
      <w:rFonts w:ascii="Tahoma" w:hAnsi="Tahoma" w:cs="Tahoma"/>
      <w:sz w:val="16"/>
      <w:szCs w:val="16"/>
    </w:rPr>
  </w:style>
  <w:style w:type="character" w:styleId="NichtaufgelsteErwhnung">
    <w:name w:val="Unresolved Mention"/>
    <w:basedOn w:val="Absatz-Standardschriftart"/>
    <w:uiPriority w:val="99"/>
    <w:semiHidden/>
    <w:unhideWhenUsed/>
    <w:rsid w:val="00A1483C"/>
    <w:rPr>
      <w:color w:val="605E5C"/>
      <w:shd w:val="clear" w:color="auto" w:fill="E1DFDD"/>
    </w:rPr>
  </w:style>
  <w:style w:type="character" w:styleId="BesuchterLink">
    <w:name w:val="FollowedHyperlink"/>
    <w:basedOn w:val="Absatz-Standardschriftart"/>
    <w:semiHidden/>
    <w:unhideWhenUsed/>
    <w:rsid w:val="0080644B"/>
    <w:rPr>
      <w:color w:val="AB00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fach.de/bankenfachverband.php/cat/36/title/Verzeichn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sl.bfach.de/media/file/56831.BFACH_Jahreskennzahlen_20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moll@bfach.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tig\AppData\Roaming\Microsoft\Templates\BFACH-PI_75_23-MM-TT_Titel_Entwurf%20Mo_mod.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BFACH-PI_75_23-MM-TT_Titel_Entwurf Mo_mod</Template>
  <TotalTime>0</TotalTime>
  <Pages>2</Pages>
  <Words>391</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3367</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Technik</dc:creator>
  <cp:lastModifiedBy>Sophia Wittig</cp:lastModifiedBy>
  <cp:revision>19</cp:revision>
  <cp:lastPrinted>2006-06-06T20:58:00Z</cp:lastPrinted>
  <dcterms:created xsi:type="dcterms:W3CDTF">2024-03-18T14:49:00Z</dcterms:created>
  <dcterms:modified xsi:type="dcterms:W3CDTF">2024-04-10T07:14:00Z</dcterms:modified>
</cp:coreProperties>
</file>