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C26" w:rsidRDefault="00730C26" w:rsidP="00730C26">
      <w:pPr>
        <w:pStyle w:val="berschrift1"/>
        <w:suppressAutoHyphens/>
      </w:pPr>
      <w:r>
        <w:t xml:space="preserve">Konsumkredit-Index stabilisiert sich: </w:t>
      </w:r>
      <w:r>
        <w:br/>
      </w:r>
      <w:r w:rsidRPr="00730C26">
        <w:t xml:space="preserve">Prognosewert zur privaten Kreditnutzung </w:t>
      </w:r>
      <w:r>
        <w:t>steigt</w:t>
      </w:r>
      <w:r w:rsidRPr="00730C26">
        <w:t xml:space="preserve"> um 18 Punkte</w:t>
      </w:r>
    </w:p>
    <w:p w:rsidR="00730C26" w:rsidRDefault="00C55615" w:rsidP="00730C26">
      <w:pPr>
        <w:pStyle w:val="Grundtext"/>
        <w:suppressAutoHyphens/>
        <w:spacing w:after="360"/>
      </w:pPr>
      <w:r w:rsidRPr="00E8391B">
        <w:t>Berlin</w:t>
      </w:r>
      <w:r w:rsidR="00F71441" w:rsidRPr="007F2DDA">
        <w:t xml:space="preserve">, </w:t>
      </w:r>
      <w:r w:rsidR="00F34975" w:rsidRPr="007F2DDA">
        <w:t>01</w:t>
      </w:r>
      <w:r w:rsidR="00F71441" w:rsidRPr="007F2DDA">
        <w:t>.</w:t>
      </w:r>
      <w:r w:rsidR="00F71441" w:rsidRPr="007051A0">
        <w:t xml:space="preserve"> </w:t>
      </w:r>
      <w:r w:rsidR="00F34975">
        <w:t>August</w:t>
      </w:r>
      <w:r w:rsidR="00F34975" w:rsidRPr="00E8391B">
        <w:t xml:space="preserve"> </w:t>
      </w:r>
      <w:r w:rsidRPr="00E8391B">
        <w:t xml:space="preserve">2024. </w:t>
      </w:r>
      <w:r w:rsidR="00730C26">
        <w:t xml:space="preserve">Privatpersonen wollen in den nächsten zwölf Monaten in vergleichbarem Maß Kredite zur Anschaffung von Konsumgütern nutzen wie in den vergangenen zwölf Monaten. In seiner aktuellen Prognose kommt der Konsumkredit-Index (KKI) des Bankenfachverbandes auf 102 Punkte und beschreibt damit eine stabile Kreditnachfrage. Der Marktforscher Ipsos hat </w:t>
      </w:r>
      <w:r w:rsidR="007A0847">
        <w:t xml:space="preserve">hierfür </w:t>
      </w:r>
      <w:r w:rsidR="00730C26">
        <w:t xml:space="preserve">1.700 Verbraucherhaushalte nach ihren künftigen </w:t>
      </w:r>
      <w:r w:rsidR="007A0847">
        <w:t>Kauf-</w:t>
      </w:r>
      <w:r w:rsidR="00730C26">
        <w:t xml:space="preserve"> und Finanzierungsabsichten befragt. </w:t>
      </w:r>
    </w:p>
    <w:p w:rsidR="00D875FC" w:rsidRPr="00E8391B" w:rsidRDefault="0089271B" w:rsidP="00730C26">
      <w:pPr>
        <w:pStyle w:val="Grundtext"/>
        <w:suppressAutoHyphens/>
        <w:spacing w:after="360"/>
      </w:pPr>
      <w:r w:rsidRPr="0089271B">
        <w:rPr>
          <w:b/>
        </w:rPr>
        <w:t>Index auf Vier-Jahres-Hoch</w:t>
      </w:r>
      <w:r>
        <w:br/>
      </w:r>
      <w:r w:rsidR="00730C26">
        <w:t xml:space="preserve">„Das Verbrauchervertrauen kehrt </w:t>
      </w:r>
      <w:r w:rsidR="009F6CD4">
        <w:t xml:space="preserve">allmählich </w:t>
      </w:r>
      <w:r w:rsidR="00730C26">
        <w:t xml:space="preserve">zurück und die Menschen wollen ihre Konsumanschaffungen wieder verstärkt finanzieren“, sagt Jens Loa, Geschäftsführer des Bankenfachverbandes. Im Vergleich zur Vorbefragung aus Januar und Februar dieses Jahres hat sich der aktuelle Index von 84 auf 102 Punkte erhöht. Damit liegt der KKI auf einem Vier-Jahres-Hoch. </w:t>
      </w:r>
      <w:r w:rsidR="007A0847">
        <w:t xml:space="preserve">In den </w:t>
      </w:r>
      <w:r>
        <w:t>vergangenen vier Jahren</w:t>
      </w:r>
      <w:r w:rsidR="007A0847">
        <w:t xml:space="preserve"> hatte der Index </w:t>
      </w:r>
      <w:r w:rsidR="00FF59CD">
        <w:t xml:space="preserve">regelmäßig </w:t>
      </w:r>
      <w:r w:rsidR="007A0847">
        <w:t xml:space="preserve">Werte </w:t>
      </w:r>
      <w:r w:rsidR="00FF59CD">
        <w:t>zwischen 78 und 101 Punkten erreicht.</w:t>
      </w:r>
      <w:r w:rsidR="007A0847">
        <w:t xml:space="preserve"> </w:t>
      </w:r>
      <w:r>
        <w:br/>
      </w:r>
      <w:r>
        <w:rPr>
          <w:rFonts w:cs="Arial"/>
          <w:bCs/>
          <w:iCs/>
          <w:szCs w:val="28"/>
        </w:rPr>
        <w:br/>
      </w:r>
      <w:r w:rsidR="00B65C47" w:rsidRPr="00B65C47">
        <w:rPr>
          <w:rFonts w:cs="Arial"/>
          <w:bCs/>
          <w:iCs/>
          <w:szCs w:val="28"/>
        </w:rPr>
        <w:t xml:space="preserve">Die </w:t>
      </w:r>
      <w:r w:rsidR="0011024C">
        <w:rPr>
          <w:rFonts w:cs="Arial"/>
          <w:bCs/>
          <w:iCs/>
          <w:szCs w:val="28"/>
        </w:rPr>
        <w:t>prognostizierten</w:t>
      </w:r>
      <w:r w:rsidR="00B65C47" w:rsidRPr="00B65C47">
        <w:rPr>
          <w:rFonts w:cs="Arial"/>
          <w:bCs/>
          <w:iCs/>
          <w:szCs w:val="28"/>
        </w:rPr>
        <w:t xml:space="preserve"> Trends</w:t>
      </w:r>
      <w:r w:rsidR="00B65C47">
        <w:rPr>
          <w:rFonts w:cs="Arial"/>
          <w:bCs/>
          <w:iCs/>
          <w:szCs w:val="28"/>
        </w:rPr>
        <w:t xml:space="preserve"> zur Kredit</w:t>
      </w:r>
      <w:r>
        <w:rPr>
          <w:rFonts w:cs="Arial"/>
          <w:bCs/>
          <w:iCs/>
          <w:szCs w:val="28"/>
        </w:rPr>
        <w:t>nutzung</w:t>
      </w:r>
      <w:r w:rsidR="00B65C47" w:rsidRPr="00E8391B">
        <w:t xml:space="preserve"> fallen in den einzelnen Konsumgütergruppen unterschiedlich aus. </w:t>
      </w:r>
      <w:r w:rsidR="0011024C" w:rsidRPr="00E8391B">
        <w:t xml:space="preserve">Ein </w:t>
      </w:r>
      <w:r>
        <w:t>konstantes</w:t>
      </w:r>
      <w:r w:rsidR="0011024C" w:rsidRPr="00E8391B">
        <w:t xml:space="preserve"> Finanzierungsniveau zeigt der Index bei Möbeln und Küchen sowie bei </w:t>
      </w:r>
      <w:r w:rsidR="00730C26" w:rsidRPr="00E8391B">
        <w:t xml:space="preserve">Unterhaltungselektronik </w:t>
      </w:r>
      <w:r w:rsidR="0011024C" w:rsidRPr="00E8391B">
        <w:t>an. Mit eine</w:t>
      </w:r>
      <w:r>
        <w:t>r</w:t>
      </w:r>
      <w:r w:rsidR="0011024C" w:rsidRPr="00E8391B">
        <w:t xml:space="preserve"> </w:t>
      </w:r>
      <w:r w:rsidR="00FF59CD">
        <w:t>rückläufigen</w:t>
      </w:r>
      <w:r w:rsidR="0011024C" w:rsidRPr="00E8391B">
        <w:t xml:space="preserve"> </w:t>
      </w:r>
      <w:r w:rsidR="00FF59CD">
        <w:t>Nutzung</w:t>
      </w:r>
      <w:r w:rsidR="0011024C" w:rsidRPr="00E8391B">
        <w:t xml:space="preserve"> ist bei Krediten für Autos zu rechnen. </w:t>
      </w:r>
      <w:r w:rsidR="00B65C47" w:rsidRPr="00E8391B">
        <w:t xml:space="preserve">Für </w:t>
      </w:r>
      <w:r w:rsidR="00820ADD">
        <w:t xml:space="preserve">die Anschaffung von </w:t>
      </w:r>
      <w:r w:rsidR="00730C26" w:rsidRPr="00E8391B">
        <w:t>Haushaltsgroßgeräte</w:t>
      </w:r>
      <w:r w:rsidR="009717E5">
        <w:t>n</w:t>
      </w:r>
      <w:r w:rsidR="00B65C47" w:rsidRPr="00E8391B">
        <w:t xml:space="preserve"> wollen Verbraucher </w:t>
      </w:r>
      <w:r w:rsidR="004E7159" w:rsidRPr="00E8391B">
        <w:t xml:space="preserve">künftig </w:t>
      </w:r>
      <w:r w:rsidR="00B65C47" w:rsidRPr="00E8391B">
        <w:t xml:space="preserve">mehr Finanzierungen </w:t>
      </w:r>
      <w:r>
        <w:t>verwenden</w:t>
      </w:r>
      <w:r w:rsidR="00B65C47" w:rsidRPr="00E8391B">
        <w:t xml:space="preserve"> al</w:t>
      </w:r>
      <w:r w:rsidR="0011024C" w:rsidRPr="00E8391B">
        <w:t xml:space="preserve">s </w:t>
      </w:r>
      <w:r w:rsidR="00730C26">
        <w:t>zuvor</w:t>
      </w:r>
      <w:r w:rsidR="00B65C47" w:rsidRPr="00E8391B">
        <w:t xml:space="preserve">. </w:t>
      </w:r>
    </w:p>
    <w:p w:rsidR="001D7533" w:rsidRPr="0089271B" w:rsidRDefault="003A1675" w:rsidP="00D171C9">
      <w:pPr>
        <w:pStyle w:val="Grundtext"/>
        <w:spacing w:after="360" w:line="240" w:lineRule="exact"/>
        <w:rPr>
          <w:rStyle w:val="Hyperlink"/>
          <w:color w:val="auto"/>
          <w:sz w:val="18"/>
          <w:szCs w:val="18"/>
          <w:u w:val="none"/>
        </w:rPr>
      </w:pPr>
      <w:r w:rsidRPr="003A1675">
        <w:rPr>
          <w:b/>
          <w:sz w:val="18"/>
          <w:szCs w:val="18"/>
        </w:rPr>
        <w:t xml:space="preserve">Der Bankenfachverband (BFACH) </w:t>
      </w:r>
      <w:r w:rsidRPr="003A1675">
        <w:rPr>
          <w:sz w:val="18"/>
          <w:szCs w:val="18"/>
        </w:rPr>
        <w:t>vertritt die Interessen der Kreditbanken in Deutschland</w:t>
      </w:r>
      <w:r w:rsidR="00DC3BF0">
        <w:rPr>
          <w:sz w:val="18"/>
          <w:szCs w:val="18"/>
        </w:rPr>
        <w:t xml:space="preserve"> – seit 75 Jahren</w:t>
      </w:r>
      <w:r w:rsidRPr="003A1675">
        <w:rPr>
          <w:sz w:val="18"/>
          <w:szCs w:val="18"/>
        </w:rPr>
        <w:t>. Seine Mitglieder sind die Experten für die Finanzierung von Konsum- und Investitionsgütern wie Kraftfahrzeugen aller Art. Die Kreditbanken haben mehr als 1</w:t>
      </w:r>
      <w:r w:rsidR="007474DA">
        <w:rPr>
          <w:sz w:val="18"/>
          <w:szCs w:val="18"/>
        </w:rPr>
        <w:t>9</w:t>
      </w:r>
      <w:r w:rsidR="00730C26">
        <w:rPr>
          <w:sz w:val="18"/>
          <w:szCs w:val="18"/>
        </w:rPr>
        <w:t>5</w:t>
      </w:r>
      <w:r w:rsidRPr="003A1675">
        <w:rPr>
          <w:sz w:val="18"/>
          <w:szCs w:val="18"/>
        </w:rPr>
        <w:t xml:space="preserve"> Milliarden Euro an Verbraucher und Unternehmen ausgeliehen und fördern damit Wirtschaft und Konjunktur.</w:t>
      </w:r>
      <w:r w:rsidR="00DC3BF0">
        <w:rPr>
          <w:sz w:val="18"/>
          <w:szCs w:val="18"/>
        </w:rPr>
        <w:t xml:space="preserve"> </w:t>
      </w:r>
      <w:r w:rsidR="0089271B">
        <w:rPr>
          <w:sz w:val="18"/>
          <w:szCs w:val="18"/>
        </w:rPr>
        <w:br/>
      </w:r>
      <w:r w:rsidR="00DC3BF0" w:rsidRPr="00DC3BF0">
        <w:rPr>
          <w:b/>
          <w:sz w:val="18"/>
          <w:szCs w:val="18"/>
        </w:rPr>
        <w:t>Der Konsumkredit-</w:t>
      </w:r>
      <w:r w:rsidR="00DC3BF0" w:rsidRPr="008E71F6">
        <w:rPr>
          <w:b/>
          <w:sz w:val="18"/>
          <w:szCs w:val="18"/>
        </w:rPr>
        <w:t xml:space="preserve">Index </w:t>
      </w:r>
      <w:r w:rsidR="008E71F6" w:rsidRPr="008E71F6">
        <w:rPr>
          <w:b/>
          <w:sz w:val="18"/>
          <w:szCs w:val="18"/>
        </w:rPr>
        <w:t>(KKI)</w:t>
      </w:r>
      <w:r w:rsidR="008E71F6">
        <w:rPr>
          <w:sz w:val="18"/>
          <w:szCs w:val="18"/>
        </w:rPr>
        <w:t xml:space="preserve"> </w:t>
      </w:r>
      <w:r w:rsidR="00DC3BF0" w:rsidRPr="00DC3BF0">
        <w:rPr>
          <w:sz w:val="18"/>
          <w:szCs w:val="18"/>
        </w:rPr>
        <w:t>prognostiziert die private Kreditaufnahme in den kommenden zwölf Monaten. Dazu befragt Ipsos halbjährlich rund 1.</w:t>
      </w:r>
      <w:r w:rsidR="00730C26">
        <w:rPr>
          <w:sz w:val="18"/>
          <w:szCs w:val="18"/>
        </w:rPr>
        <w:t>7</w:t>
      </w:r>
      <w:r w:rsidR="00DC3BF0" w:rsidRPr="00DC3BF0">
        <w:rPr>
          <w:sz w:val="18"/>
          <w:szCs w:val="18"/>
        </w:rPr>
        <w:t>00 Haushalte über das Finanzmarktpanel der GfK. Ein Indexwert von 100 zeigt eine Entwicklung auf Vorjahresniveau, ab 125 steigt die Kreditnutzung signifikant an.</w:t>
      </w:r>
      <w:r w:rsidR="0089271B">
        <w:rPr>
          <w:sz w:val="18"/>
          <w:szCs w:val="18"/>
        </w:rPr>
        <w:br/>
      </w:r>
      <w:r w:rsidR="00314A84">
        <w:rPr>
          <w:b/>
          <w:sz w:val="18"/>
          <w:szCs w:val="18"/>
        </w:rPr>
        <w:br/>
      </w:r>
      <w:r w:rsidR="00D171C9" w:rsidRPr="00F71441">
        <w:rPr>
          <w:b/>
          <w:sz w:val="16"/>
          <w:szCs w:val="16"/>
        </w:rPr>
        <w:t>Anlagen</w:t>
      </w:r>
      <w:r w:rsidR="00DC3BF0">
        <w:rPr>
          <w:sz w:val="16"/>
          <w:szCs w:val="16"/>
        </w:rPr>
        <w:t>:</w:t>
      </w:r>
      <w:r w:rsidR="00DC3BF0" w:rsidRPr="00DC3BF0">
        <w:rPr>
          <w:sz w:val="16"/>
          <w:szCs w:val="16"/>
        </w:rPr>
        <w:t xml:space="preserve"> </w:t>
      </w:r>
      <w:hyperlink r:id="rId7" w:history="1">
        <w:r w:rsidR="00DC3BF0" w:rsidRPr="007F2DDA">
          <w:rPr>
            <w:rStyle w:val="Hyperlink"/>
            <w:color w:val="004E9E" w:themeColor="accent1"/>
            <w:sz w:val="16"/>
            <w:szCs w:val="16"/>
          </w:rPr>
          <w:t>Infografik Konsumkredit-Index</w:t>
        </w:r>
      </w:hyperlink>
      <w:r w:rsidR="00DC3BF0" w:rsidRPr="00DC3BF0">
        <w:rPr>
          <w:sz w:val="16"/>
          <w:szCs w:val="16"/>
        </w:rPr>
        <w:t xml:space="preserve">, </w:t>
      </w:r>
      <w:hyperlink r:id="rId8" w:history="1">
        <w:r w:rsidR="00DC3BF0" w:rsidRPr="007F2DDA">
          <w:rPr>
            <w:rStyle w:val="Hyperlink"/>
            <w:color w:val="004E9E" w:themeColor="accent1"/>
            <w:sz w:val="16"/>
            <w:szCs w:val="16"/>
          </w:rPr>
          <w:t>Studie KKI 202</w:t>
        </w:r>
        <w:r w:rsidR="007051A0" w:rsidRPr="007F2DDA">
          <w:rPr>
            <w:rStyle w:val="Hyperlink"/>
            <w:color w:val="004E9E" w:themeColor="accent1"/>
            <w:sz w:val="16"/>
            <w:szCs w:val="16"/>
          </w:rPr>
          <w:t>4</w:t>
        </w:r>
        <w:r w:rsidR="00730C26" w:rsidRPr="007F2DDA">
          <w:rPr>
            <w:rStyle w:val="Hyperlink"/>
            <w:color w:val="004E9E" w:themeColor="accent1"/>
            <w:sz w:val="16"/>
            <w:szCs w:val="16"/>
          </w:rPr>
          <w:t>/2025</w:t>
        </w:r>
      </w:hyperlink>
      <w:r w:rsidR="00DC3BF0">
        <w:rPr>
          <w:sz w:val="16"/>
          <w:szCs w:val="16"/>
        </w:rPr>
        <w:t>,</w:t>
      </w:r>
      <w:r w:rsidR="00DC3BF0" w:rsidRPr="00DC3BF0">
        <w:rPr>
          <w:sz w:val="16"/>
          <w:szCs w:val="16"/>
        </w:rPr>
        <w:t xml:space="preserve"> Textfassung: </w:t>
      </w:r>
      <w:r w:rsidR="00DC3BF0" w:rsidRPr="007051A0">
        <w:rPr>
          <w:sz w:val="16"/>
          <w:szCs w:val="16"/>
        </w:rPr>
        <w:t xml:space="preserve">www.bfach.de / Presse </w:t>
      </w:r>
      <w:r w:rsidR="00DC3BF0" w:rsidRPr="007F2DDA">
        <w:rPr>
          <w:sz w:val="16"/>
          <w:szCs w:val="16"/>
        </w:rPr>
        <w:t xml:space="preserve">/ </w:t>
      </w:r>
      <w:r w:rsidR="00F34975" w:rsidRPr="007F2DDA">
        <w:rPr>
          <w:sz w:val="16"/>
          <w:szCs w:val="16"/>
        </w:rPr>
        <w:t>01</w:t>
      </w:r>
      <w:r w:rsidR="007F2DDA" w:rsidRPr="007F2DDA">
        <w:rPr>
          <w:sz w:val="16"/>
          <w:szCs w:val="16"/>
        </w:rPr>
        <w:t>.</w:t>
      </w:r>
      <w:r w:rsidR="00F34975" w:rsidRPr="007F2DDA">
        <w:rPr>
          <w:sz w:val="16"/>
          <w:szCs w:val="16"/>
        </w:rPr>
        <w:t>08.</w:t>
      </w:r>
      <w:r w:rsidR="00DC3BF0" w:rsidRPr="007F2DDA">
        <w:rPr>
          <w:sz w:val="16"/>
          <w:szCs w:val="16"/>
        </w:rPr>
        <w:t>2024</w:t>
      </w:r>
      <w:r w:rsidR="00D171C9" w:rsidRPr="00F71441">
        <w:rPr>
          <w:sz w:val="16"/>
          <w:szCs w:val="16"/>
        </w:rPr>
        <w:br/>
      </w:r>
      <w:r w:rsidR="00D171C9" w:rsidRPr="00F71441">
        <w:rPr>
          <w:b/>
          <w:sz w:val="16"/>
          <w:szCs w:val="16"/>
        </w:rPr>
        <w:t xml:space="preserve">Kontakt: </w:t>
      </w:r>
      <w:r w:rsidR="00D171C9" w:rsidRPr="00F71441">
        <w:rPr>
          <w:sz w:val="16"/>
          <w:szCs w:val="16"/>
        </w:rPr>
        <w:t>Bankenfachverband, Stephan Moll, Leiter Markt und PR, Tel. 030 2462596-14,</w:t>
      </w:r>
      <w:r w:rsidR="00D171C9" w:rsidRPr="009730FD">
        <w:rPr>
          <w:color w:val="004E9E" w:themeColor="accent1"/>
          <w:sz w:val="16"/>
          <w:szCs w:val="16"/>
        </w:rPr>
        <w:t xml:space="preserve"> </w:t>
      </w:r>
      <w:hyperlink r:id="rId9" w:history="1">
        <w:r w:rsidR="00603C18" w:rsidRPr="009730FD">
          <w:rPr>
            <w:rStyle w:val="Hyperlink"/>
            <w:color w:val="004E9E" w:themeColor="accent1"/>
            <w:sz w:val="16"/>
            <w:szCs w:val="16"/>
          </w:rPr>
          <w:t>stephan.moll@bfach.de</w:t>
        </w:r>
      </w:hyperlink>
    </w:p>
    <w:p w:rsidR="00B65C47" w:rsidRPr="0089271B" w:rsidRDefault="00730C26" w:rsidP="0089271B">
      <w:pPr>
        <w:tabs>
          <w:tab w:val="clear" w:pos="1239"/>
          <w:tab w:val="clear" w:pos="3686"/>
          <w:tab w:val="clear" w:pos="8845"/>
        </w:tabs>
        <w:spacing w:line="240" w:lineRule="auto"/>
        <w:rPr>
          <w:b/>
          <w:szCs w:val="22"/>
        </w:rPr>
      </w:pPr>
      <w:r>
        <w:rPr>
          <w:b/>
          <w:szCs w:val="22"/>
        </w:rPr>
        <w:br w:type="page"/>
      </w:r>
      <w:r w:rsidR="00B65C47" w:rsidRPr="00503B32">
        <w:rPr>
          <w:b/>
          <w:szCs w:val="22"/>
        </w:rPr>
        <w:lastRenderedPageBreak/>
        <w:t>Konsumkredit-Index 202</w:t>
      </w:r>
      <w:r w:rsidR="00B65C47">
        <w:rPr>
          <w:b/>
          <w:szCs w:val="22"/>
        </w:rPr>
        <w:t>4</w:t>
      </w:r>
      <w:r>
        <w:rPr>
          <w:b/>
          <w:szCs w:val="22"/>
        </w:rPr>
        <w:t>/2025</w:t>
      </w:r>
      <w:r w:rsidR="00B65C47">
        <w:rPr>
          <w:b/>
          <w:szCs w:val="22"/>
        </w:rPr>
        <w:br/>
      </w:r>
      <w:r w:rsidR="00B65C47" w:rsidRPr="005740B3">
        <w:rPr>
          <w:szCs w:val="22"/>
        </w:rPr>
        <w:t>Prognose der Konsum</w:t>
      </w:r>
      <w:r w:rsidR="00B65C47">
        <w:rPr>
          <w:szCs w:val="22"/>
        </w:rPr>
        <w:t>k</w:t>
      </w:r>
      <w:r w:rsidR="00B65C47" w:rsidRPr="005740B3">
        <w:rPr>
          <w:szCs w:val="22"/>
        </w:rPr>
        <w:t>reditnutzung in Deutschland</w:t>
      </w:r>
    </w:p>
    <w:p w:rsidR="00B65C47" w:rsidRDefault="00730C26" w:rsidP="00B65C47">
      <w:pPr>
        <w:pStyle w:val="Grundtext"/>
        <w:spacing w:after="360" w:line="240" w:lineRule="exact"/>
        <w:rPr>
          <w:b/>
          <w:szCs w:val="22"/>
        </w:rPr>
      </w:pPr>
      <w:r>
        <w:rPr>
          <w:b/>
          <w:noProof/>
          <w:szCs w:val="22"/>
        </w:rPr>
        <w:drawing>
          <wp:anchor distT="0" distB="0" distL="114300" distR="114300" simplePos="0" relativeHeight="251658240" behindDoc="0" locked="0" layoutInCell="1" allowOverlap="1">
            <wp:simplePos x="0" y="0"/>
            <wp:positionH relativeFrom="column">
              <wp:posOffset>-165735</wp:posOffset>
            </wp:positionH>
            <wp:positionV relativeFrom="paragraph">
              <wp:posOffset>30480</wp:posOffset>
            </wp:positionV>
            <wp:extent cx="4858512" cy="485851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KI_2024_2025_BFACH_Infografi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512" cy="4858512"/>
                    </a:xfrm>
                    <a:prstGeom prst="rect">
                      <a:avLst/>
                    </a:prstGeom>
                  </pic:spPr>
                </pic:pic>
              </a:graphicData>
            </a:graphic>
          </wp:anchor>
        </w:drawing>
      </w:r>
    </w:p>
    <w:p w:rsidR="00B65C47" w:rsidRDefault="00B65C47" w:rsidP="00B65C47">
      <w:pPr>
        <w:pStyle w:val="Grundtext"/>
        <w:spacing w:after="360" w:line="240" w:lineRule="exact"/>
        <w:rPr>
          <w:b/>
          <w:szCs w:val="22"/>
        </w:rPr>
      </w:pPr>
    </w:p>
    <w:p w:rsidR="00B65C47" w:rsidRDefault="00B65C47" w:rsidP="00B65C47">
      <w:pPr>
        <w:pStyle w:val="Grundtext"/>
        <w:spacing w:after="360" w:line="240" w:lineRule="exact"/>
        <w:rPr>
          <w:b/>
          <w:szCs w:val="22"/>
        </w:rPr>
      </w:pPr>
    </w:p>
    <w:p w:rsidR="00B65C47" w:rsidRPr="005740B3" w:rsidRDefault="00B65C47" w:rsidP="00B65C47">
      <w:pPr>
        <w:pStyle w:val="Grundtext"/>
        <w:spacing w:after="360" w:line="240" w:lineRule="exact"/>
        <w:rPr>
          <w:b/>
          <w:szCs w:val="22"/>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B65C47" w:rsidRDefault="00B65C47" w:rsidP="00B65C47">
      <w:pPr>
        <w:pStyle w:val="Grundtext"/>
        <w:spacing w:after="360" w:line="240" w:lineRule="exact"/>
        <w:rPr>
          <w:noProof/>
          <w:sz w:val="18"/>
          <w:szCs w:val="18"/>
        </w:rPr>
      </w:pPr>
    </w:p>
    <w:p w:rsidR="0089271B" w:rsidRPr="00820ADD" w:rsidRDefault="00B65C47" w:rsidP="00D171C9">
      <w:pPr>
        <w:pStyle w:val="Grundtext"/>
        <w:spacing w:after="360" w:line="240" w:lineRule="exact"/>
        <w:rPr>
          <w:b/>
          <w:szCs w:val="22"/>
        </w:rPr>
      </w:pPr>
      <w:r>
        <w:rPr>
          <w:noProof/>
          <w:szCs w:val="22"/>
        </w:rPr>
        <w:drawing>
          <wp:inline distT="0" distB="0" distL="0" distR="0">
            <wp:extent cx="4858512" cy="485851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KI_2024_BFACH_Infografi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8512" cy="4858512"/>
                    </a:xfrm>
                    <a:prstGeom prst="rect">
                      <a:avLst/>
                    </a:prstGeom>
                  </pic:spPr>
                </pic:pic>
              </a:graphicData>
            </a:graphic>
          </wp:inline>
        </w:drawing>
      </w:r>
      <w:r w:rsidR="0089271B">
        <w:rPr>
          <w:szCs w:val="22"/>
        </w:rPr>
        <w:br/>
      </w:r>
      <w:r w:rsidR="00820ADD">
        <w:rPr>
          <w:b/>
          <w:szCs w:val="22"/>
        </w:rPr>
        <w:br/>
      </w:r>
      <w:r w:rsidR="0089271B" w:rsidRPr="0089271B">
        <w:rPr>
          <w:b/>
          <w:szCs w:val="22"/>
        </w:rPr>
        <w:t>Zeitreihe Konsumkredit-Index</w:t>
      </w:r>
      <w:r w:rsidR="005D6375">
        <w:rPr>
          <w:b/>
          <w:szCs w:val="22"/>
        </w:rPr>
        <w:t xml:space="preserve"> (KKI)</w:t>
      </w:r>
      <w:r w:rsidR="0089271B">
        <w:rPr>
          <w:szCs w:val="22"/>
        </w:rPr>
        <w:br/>
        <w:t>Prognosehorizonte</w:t>
      </w:r>
    </w:p>
    <w:tbl>
      <w:tblPr>
        <w:tblStyle w:val="Tabellenraster"/>
        <w:tblW w:w="8839" w:type="dxa"/>
        <w:tblInd w:w="-5" w:type="dxa"/>
        <w:tblBorders>
          <w:top w:val="single" w:sz="4" w:space="0" w:color="999999" w:themeColor="accent4"/>
          <w:left w:val="single" w:sz="4" w:space="0" w:color="999999" w:themeColor="accent4"/>
          <w:bottom w:val="single" w:sz="4" w:space="0" w:color="999999" w:themeColor="accent4"/>
          <w:right w:val="single" w:sz="4" w:space="0" w:color="999999" w:themeColor="accent4"/>
          <w:insideH w:val="single" w:sz="4" w:space="0" w:color="999999" w:themeColor="accent4"/>
          <w:insideV w:val="single" w:sz="4" w:space="0" w:color="999999" w:themeColor="accent4"/>
        </w:tblBorders>
        <w:tblLook w:val="04A0" w:firstRow="1" w:lastRow="0" w:firstColumn="1" w:lastColumn="0" w:noHBand="0" w:noVBand="1"/>
      </w:tblPr>
      <w:tblGrid>
        <w:gridCol w:w="975"/>
        <w:gridCol w:w="896"/>
        <w:gridCol w:w="846"/>
        <w:gridCol w:w="896"/>
        <w:gridCol w:w="846"/>
        <w:gridCol w:w="896"/>
        <w:gridCol w:w="846"/>
        <w:gridCol w:w="896"/>
        <w:gridCol w:w="846"/>
        <w:gridCol w:w="896"/>
      </w:tblGrid>
      <w:tr w:rsidR="0089271B" w:rsidRPr="0089271B" w:rsidTr="005D6375">
        <w:trPr>
          <w:trHeight w:hRule="exact" w:val="680"/>
        </w:trPr>
        <w:tc>
          <w:tcPr>
            <w:tcW w:w="794" w:type="dxa"/>
            <w:shd w:val="clear" w:color="auto" w:fill="E5E5E5" w:themeFill="accent3" w:themeFillTint="66"/>
          </w:tcPr>
          <w:p w:rsidR="0089271B" w:rsidRPr="0089271B" w:rsidRDefault="0089271B" w:rsidP="0089271B">
            <w:pPr>
              <w:pStyle w:val="Grundtext"/>
              <w:spacing w:after="360" w:line="240" w:lineRule="exact"/>
              <w:rPr>
                <w:b/>
                <w:szCs w:val="22"/>
              </w:rPr>
            </w:pPr>
            <w:r w:rsidRPr="0089271B">
              <w:rPr>
                <w:b/>
                <w:szCs w:val="22"/>
              </w:rPr>
              <w:t>Jahre</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2020/</w:t>
            </w:r>
            <w:r>
              <w:rPr>
                <w:szCs w:val="22"/>
              </w:rPr>
              <w:br/>
            </w:r>
            <w:r w:rsidRPr="0089271B">
              <w:rPr>
                <w:szCs w:val="22"/>
              </w:rPr>
              <w:t>2021</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2021</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2021/</w:t>
            </w:r>
            <w:r>
              <w:rPr>
                <w:szCs w:val="22"/>
              </w:rPr>
              <w:br/>
            </w:r>
            <w:r w:rsidRPr="0089271B">
              <w:rPr>
                <w:szCs w:val="22"/>
              </w:rPr>
              <w:t>2022</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2022</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2022/</w:t>
            </w:r>
            <w:r>
              <w:rPr>
                <w:szCs w:val="22"/>
              </w:rPr>
              <w:br/>
            </w:r>
            <w:r w:rsidRPr="0089271B">
              <w:rPr>
                <w:szCs w:val="22"/>
              </w:rPr>
              <w:t>2023</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2023</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2023/</w:t>
            </w:r>
            <w:r>
              <w:rPr>
                <w:szCs w:val="22"/>
              </w:rPr>
              <w:br/>
            </w:r>
            <w:r w:rsidRPr="0089271B">
              <w:rPr>
                <w:szCs w:val="22"/>
              </w:rPr>
              <w:t>2024</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2024</w:t>
            </w:r>
          </w:p>
        </w:tc>
        <w:tc>
          <w:tcPr>
            <w:tcW w:w="794" w:type="dxa"/>
            <w:shd w:val="clear" w:color="auto" w:fill="E5E5E5" w:themeFill="accent3" w:themeFillTint="66"/>
            <w:noWrap/>
            <w:hideMark/>
          </w:tcPr>
          <w:p w:rsidR="0089271B" w:rsidRPr="0089271B" w:rsidRDefault="0089271B" w:rsidP="0089271B">
            <w:pPr>
              <w:pStyle w:val="Grundtext"/>
              <w:spacing w:after="360" w:line="240" w:lineRule="exact"/>
              <w:rPr>
                <w:szCs w:val="22"/>
              </w:rPr>
            </w:pPr>
            <w:r w:rsidRPr="0089271B">
              <w:rPr>
                <w:szCs w:val="22"/>
              </w:rPr>
              <w:t>2024/</w:t>
            </w:r>
            <w:r>
              <w:rPr>
                <w:szCs w:val="22"/>
              </w:rPr>
              <w:br/>
            </w:r>
            <w:r w:rsidRPr="0089271B">
              <w:rPr>
                <w:szCs w:val="22"/>
              </w:rPr>
              <w:t>2025</w:t>
            </w:r>
          </w:p>
        </w:tc>
      </w:tr>
      <w:tr w:rsidR="0089271B" w:rsidRPr="0089271B" w:rsidTr="005D6375">
        <w:trPr>
          <w:trHeight w:hRule="exact" w:val="680"/>
        </w:trPr>
        <w:tc>
          <w:tcPr>
            <w:tcW w:w="794" w:type="dxa"/>
            <w:vAlign w:val="bottom"/>
          </w:tcPr>
          <w:p w:rsidR="0089271B" w:rsidRPr="0089271B" w:rsidRDefault="005D6375" w:rsidP="0089271B">
            <w:pPr>
              <w:pStyle w:val="Grundtext"/>
              <w:spacing w:after="360" w:line="240" w:lineRule="exact"/>
              <w:rPr>
                <w:b/>
                <w:szCs w:val="22"/>
              </w:rPr>
            </w:pPr>
            <w:r>
              <w:rPr>
                <w:b/>
                <w:szCs w:val="22"/>
              </w:rPr>
              <w:t>Punkte</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98</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100</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99</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101</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78</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95</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98</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84</w:t>
            </w:r>
          </w:p>
        </w:tc>
        <w:tc>
          <w:tcPr>
            <w:tcW w:w="794" w:type="dxa"/>
            <w:noWrap/>
            <w:vAlign w:val="bottom"/>
            <w:hideMark/>
          </w:tcPr>
          <w:p w:rsidR="0089271B" w:rsidRPr="0089271B" w:rsidRDefault="0089271B" w:rsidP="0089271B">
            <w:pPr>
              <w:pStyle w:val="Grundtext"/>
              <w:spacing w:after="360" w:line="240" w:lineRule="exact"/>
              <w:rPr>
                <w:szCs w:val="22"/>
              </w:rPr>
            </w:pPr>
            <w:r w:rsidRPr="0089271B">
              <w:rPr>
                <w:szCs w:val="22"/>
              </w:rPr>
              <w:t>102</w:t>
            </w:r>
          </w:p>
        </w:tc>
      </w:tr>
    </w:tbl>
    <w:p w:rsidR="00B65C47" w:rsidRPr="00F5641A" w:rsidRDefault="0089271B" w:rsidP="00D171C9">
      <w:pPr>
        <w:pStyle w:val="Grundtext"/>
        <w:spacing w:after="360" w:line="240" w:lineRule="exact"/>
        <w:rPr>
          <w:sz w:val="16"/>
          <w:szCs w:val="16"/>
        </w:rPr>
      </w:pPr>
      <w:r w:rsidRPr="0089271B">
        <w:rPr>
          <w:szCs w:val="22"/>
        </w:rPr>
        <w:t xml:space="preserve"> </w:t>
      </w:r>
      <w:r>
        <w:rPr>
          <w:szCs w:val="22"/>
        </w:rPr>
        <w:br/>
      </w:r>
      <w:r w:rsidR="00B65C47" w:rsidRPr="00F5641A">
        <w:rPr>
          <w:sz w:val="16"/>
          <w:szCs w:val="16"/>
        </w:rPr>
        <w:t xml:space="preserve">Anlage zur Presseinformation des Bankenfachverbandes vom </w:t>
      </w:r>
      <w:bookmarkStart w:id="0" w:name="_GoBack"/>
      <w:bookmarkEnd w:id="0"/>
      <w:r w:rsidR="00F34975" w:rsidRPr="00F45595">
        <w:rPr>
          <w:sz w:val="16"/>
          <w:szCs w:val="16"/>
        </w:rPr>
        <w:t>01. August</w:t>
      </w:r>
      <w:r w:rsidR="00B65C47" w:rsidRPr="00F45595">
        <w:rPr>
          <w:sz w:val="16"/>
          <w:szCs w:val="16"/>
        </w:rPr>
        <w:t xml:space="preserve"> 2024</w:t>
      </w:r>
    </w:p>
    <w:sectPr w:rsidR="00B65C47" w:rsidRPr="00F5641A">
      <w:headerReference w:type="even" r:id="rId12"/>
      <w:headerReference w:type="default" r:id="rId13"/>
      <w:footerReference w:type="even" r:id="rId14"/>
      <w:footerReference w:type="default" r:id="rId15"/>
      <w:headerReference w:type="first" r:id="rId16"/>
      <w:footerReference w:type="first" r:id="rId17"/>
      <w:pgSz w:w="11906" w:h="16838" w:code="9"/>
      <w:pgMar w:top="3402" w:right="1361" w:bottom="1701" w:left="1701" w:header="249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86D" w:rsidRDefault="00A4786D">
      <w:r>
        <w:separator/>
      </w:r>
    </w:p>
  </w:endnote>
  <w:endnote w:type="continuationSeparator" w:id="0">
    <w:p w:rsidR="00A4786D" w:rsidRDefault="00A4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374" w:rsidRDefault="004333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A2" w:rsidRDefault="001825A2">
    <w:pPr>
      <w:jc w:val="right"/>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815" w:rsidRDefault="00881815">
    <w:pPr>
      <w:pStyle w:val="Fuzeile"/>
    </w:pPr>
    <w:r>
      <w:rPr>
        <w:noProof/>
      </w:rPr>
      <w:drawing>
        <wp:anchor distT="0" distB="0" distL="114300" distR="114300" simplePos="0" relativeHeight="251660800" behindDoc="1" locked="0" layoutInCell="1" allowOverlap="1" wp14:anchorId="0061F7FA" wp14:editId="4972E5BF">
          <wp:simplePos x="0" y="0"/>
          <wp:positionH relativeFrom="column">
            <wp:posOffset>-1108710</wp:posOffset>
          </wp:positionH>
          <wp:positionV relativeFrom="paragraph">
            <wp:posOffset>-21590</wp:posOffset>
          </wp:positionV>
          <wp:extent cx="7606800" cy="6372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 eine Fußzeile.jpg"/>
                  <pic:cNvPicPr/>
                </pic:nvPicPr>
                <pic:blipFill>
                  <a:blip r:embed="rId1">
                    <a:extLst>
                      <a:ext uri="{28A0092B-C50C-407E-A947-70E740481C1C}">
                        <a14:useLocalDpi xmlns:a14="http://schemas.microsoft.com/office/drawing/2010/main" val="0"/>
                      </a:ext>
                    </a:extLst>
                  </a:blip>
                  <a:stretch>
                    <a:fillRect/>
                  </a:stretch>
                </pic:blipFill>
                <pic:spPr>
                  <a:xfrm>
                    <a:off x="0" y="0"/>
                    <a:ext cx="7606800" cy="63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86D" w:rsidRDefault="00A4786D">
      <w:r>
        <w:separator/>
      </w:r>
    </w:p>
  </w:footnote>
  <w:footnote w:type="continuationSeparator" w:id="0">
    <w:p w:rsidR="00A4786D" w:rsidRDefault="00A47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374" w:rsidRDefault="004333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A2" w:rsidRDefault="001B6762">
    <w:r>
      <w:rPr>
        <w:noProof/>
        <w:sz w:val="20"/>
      </w:rPr>
      <w:drawing>
        <wp:anchor distT="0" distB="0" distL="114300" distR="114300" simplePos="0" relativeHeight="251658752" behindDoc="0" locked="1" layoutInCell="1" allowOverlap="1" wp14:anchorId="32F01FC3" wp14:editId="40FF3A2E">
          <wp:simplePos x="0" y="0"/>
          <wp:positionH relativeFrom="page">
            <wp:posOffset>0</wp:posOffset>
          </wp:positionH>
          <wp:positionV relativeFrom="page">
            <wp:posOffset>0</wp:posOffset>
          </wp:positionV>
          <wp:extent cx="7581900" cy="1424940"/>
          <wp:effectExtent l="0" t="0" r="0" b="3810"/>
          <wp:wrapNone/>
          <wp:docPr id="12" name="Bild 12" descr="briefbo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efbogen-2"/>
                  <pic:cNvPicPr>
                    <a:picLocks noChangeAspect="1" noChangeArrowheads="1"/>
                  </pic:cNvPicPr>
                </pic:nvPicPr>
                <pic:blipFill>
                  <a:blip r:embed="rId1">
                    <a:extLst>
                      <a:ext uri="{28A0092B-C50C-407E-A947-70E740481C1C}">
                        <a14:useLocalDpi xmlns:a14="http://schemas.microsoft.com/office/drawing/2010/main" val="0"/>
                      </a:ext>
                    </a:extLst>
                  </a:blip>
                  <a:srcRect b="86697"/>
                  <a:stretch>
                    <a:fillRect/>
                  </a:stretch>
                </pic:blipFill>
                <pic:spPr bwMode="auto">
                  <a:xfrm>
                    <a:off x="0" y="0"/>
                    <a:ext cx="758190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5A2" w:rsidRDefault="00433374">
    <w:r>
      <w:rPr>
        <w:noProof/>
        <w:sz w:val="20"/>
      </w:rPr>
      <w:drawing>
        <wp:anchor distT="0" distB="0" distL="114300" distR="114300" simplePos="0" relativeHeight="251661824" behindDoc="0" locked="0" layoutInCell="1" allowOverlap="1">
          <wp:simplePos x="0" y="0"/>
          <wp:positionH relativeFrom="column">
            <wp:posOffset>3491230</wp:posOffset>
          </wp:positionH>
          <wp:positionV relativeFrom="paragraph">
            <wp:posOffset>-1137920</wp:posOffset>
          </wp:positionV>
          <wp:extent cx="2642141" cy="1057275"/>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24_BFACH_75_CMYK_DRU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2141" cy="1057275"/>
                  </a:xfrm>
                  <a:prstGeom prst="rect">
                    <a:avLst/>
                  </a:prstGeom>
                </pic:spPr>
              </pic:pic>
            </a:graphicData>
          </a:graphic>
          <wp14:sizeRelH relativeFrom="page">
            <wp14:pctWidth>0</wp14:pctWidth>
          </wp14:sizeRelH>
          <wp14:sizeRelV relativeFrom="page">
            <wp14:pctHeight>0</wp14:pctHeight>
          </wp14:sizeRelV>
        </wp:anchor>
      </w:drawing>
    </w:r>
    <w:r w:rsidR="001B6762">
      <w:rPr>
        <w:noProof/>
        <w:sz w:val="20"/>
      </w:rPr>
      <w:drawing>
        <wp:anchor distT="0" distB="0" distL="114300" distR="114300" simplePos="0" relativeHeight="251656704" behindDoc="0" locked="1" layoutInCell="1" allowOverlap="1" wp14:anchorId="2D3B070D" wp14:editId="4C8A5829">
          <wp:simplePos x="0" y="0"/>
          <wp:positionH relativeFrom="page">
            <wp:posOffset>-5080</wp:posOffset>
          </wp:positionH>
          <wp:positionV relativeFrom="page">
            <wp:posOffset>-9525</wp:posOffset>
          </wp:positionV>
          <wp:extent cx="7581900" cy="1972945"/>
          <wp:effectExtent l="0" t="0" r="0" b="8255"/>
          <wp:wrapNone/>
          <wp:docPr id="13" name="Bild 13" descr="Press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sse-Info"/>
                  <pic:cNvPicPr>
                    <a:picLocks noChangeAspect="1" noChangeArrowheads="1"/>
                  </pic:cNvPicPr>
                </pic:nvPicPr>
                <pic:blipFill rotWithShape="1">
                  <a:blip r:embed="rId2">
                    <a:extLst>
                      <a:ext uri="{28A0092B-C50C-407E-A947-70E740481C1C}">
                        <a14:useLocalDpi xmlns:a14="http://schemas.microsoft.com/office/drawing/2010/main" val="0"/>
                      </a:ext>
                    </a:extLst>
                  </a:blip>
                  <a:srcRect b="81619"/>
                  <a:stretch/>
                </pic:blipFill>
                <pic:spPr bwMode="auto">
                  <a:xfrm>
                    <a:off x="0" y="0"/>
                    <a:ext cx="7581900"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95ABC"/>
    <w:multiLevelType w:val="hybridMultilevel"/>
    <w:tmpl w:val="5A32B7CE"/>
    <w:lvl w:ilvl="0" w:tplc="8FA08AF4">
      <w:start w:val="1"/>
      <w:numFmt w:val="bullet"/>
      <w:lvlText w:val=""/>
      <w:lvlJc w:val="left"/>
      <w:pPr>
        <w:tabs>
          <w:tab w:val="num" w:pos="360"/>
        </w:tabs>
        <w:ind w:left="360" w:hanging="360"/>
      </w:pPr>
      <w:rPr>
        <w:rFonts w:ascii="Symbol" w:hAnsi="Symbol" w:hint="default"/>
        <w:u w:color="9999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3D7E2C"/>
    <w:multiLevelType w:val="hybridMultilevel"/>
    <w:tmpl w:val="2174B45E"/>
    <w:lvl w:ilvl="0" w:tplc="F5242172">
      <w:start w:val="1"/>
      <w:numFmt w:val="bullet"/>
      <w:pStyle w:val="AufzhlungMitPunk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5AF2F8A"/>
    <w:multiLevelType w:val="hybridMultilevel"/>
    <w:tmpl w:val="DA66277E"/>
    <w:lvl w:ilvl="0" w:tplc="D7A6AC04">
      <w:start w:val="1"/>
      <w:numFmt w:val="bullet"/>
      <w:lvlText w:val=""/>
      <w:lvlJc w:val="left"/>
      <w:pPr>
        <w:tabs>
          <w:tab w:val="num" w:pos="1636"/>
        </w:tabs>
        <w:ind w:left="1503" w:hanging="227"/>
      </w:pPr>
      <w:rPr>
        <w:rFonts w:ascii="Symbol" w:hAnsi="Symbol" w:hint="default"/>
      </w:rPr>
    </w:lvl>
    <w:lvl w:ilvl="1" w:tplc="04070003" w:tentative="1">
      <w:start w:val="1"/>
      <w:numFmt w:val="bullet"/>
      <w:lvlText w:val="o"/>
      <w:lvlJc w:val="left"/>
      <w:pPr>
        <w:tabs>
          <w:tab w:val="num" w:pos="2007"/>
        </w:tabs>
        <w:ind w:left="2007" w:hanging="360"/>
      </w:pPr>
      <w:rPr>
        <w:rFonts w:ascii="Courier New" w:hAnsi="Courier New" w:hint="default"/>
      </w:rPr>
    </w:lvl>
    <w:lvl w:ilvl="2" w:tplc="04070005" w:tentative="1">
      <w:start w:val="1"/>
      <w:numFmt w:val="bullet"/>
      <w:lvlText w:val=""/>
      <w:lvlJc w:val="left"/>
      <w:pPr>
        <w:tabs>
          <w:tab w:val="num" w:pos="2727"/>
        </w:tabs>
        <w:ind w:left="2727" w:hanging="360"/>
      </w:pPr>
      <w:rPr>
        <w:rFonts w:ascii="Wingdings" w:hAnsi="Wingdings" w:hint="default"/>
      </w:rPr>
    </w:lvl>
    <w:lvl w:ilvl="3" w:tplc="04070001" w:tentative="1">
      <w:start w:val="1"/>
      <w:numFmt w:val="bullet"/>
      <w:lvlText w:val=""/>
      <w:lvlJc w:val="left"/>
      <w:pPr>
        <w:tabs>
          <w:tab w:val="num" w:pos="3447"/>
        </w:tabs>
        <w:ind w:left="3447" w:hanging="360"/>
      </w:pPr>
      <w:rPr>
        <w:rFonts w:ascii="Symbol" w:hAnsi="Symbol" w:hint="default"/>
      </w:rPr>
    </w:lvl>
    <w:lvl w:ilvl="4" w:tplc="04070003" w:tentative="1">
      <w:start w:val="1"/>
      <w:numFmt w:val="bullet"/>
      <w:lvlText w:val="o"/>
      <w:lvlJc w:val="left"/>
      <w:pPr>
        <w:tabs>
          <w:tab w:val="num" w:pos="4167"/>
        </w:tabs>
        <w:ind w:left="4167" w:hanging="360"/>
      </w:pPr>
      <w:rPr>
        <w:rFonts w:ascii="Courier New" w:hAnsi="Courier New" w:hint="default"/>
      </w:rPr>
    </w:lvl>
    <w:lvl w:ilvl="5" w:tplc="04070005" w:tentative="1">
      <w:start w:val="1"/>
      <w:numFmt w:val="bullet"/>
      <w:lvlText w:val=""/>
      <w:lvlJc w:val="left"/>
      <w:pPr>
        <w:tabs>
          <w:tab w:val="num" w:pos="4887"/>
        </w:tabs>
        <w:ind w:left="4887" w:hanging="360"/>
      </w:pPr>
      <w:rPr>
        <w:rFonts w:ascii="Wingdings" w:hAnsi="Wingdings" w:hint="default"/>
      </w:rPr>
    </w:lvl>
    <w:lvl w:ilvl="6" w:tplc="04070001" w:tentative="1">
      <w:start w:val="1"/>
      <w:numFmt w:val="bullet"/>
      <w:lvlText w:val=""/>
      <w:lvlJc w:val="left"/>
      <w:pPr>
        <w:tabs>
          <w:tab w:val="num" w:pos="5607"/>
        </w:tabs>
        <w:ind w:left="5607" w:hanging="360"/>
      </w:pPr>
      <w:rPr>
        <w:rFonts w:ascii="Symbol" w:hAnsi="Symbol" w:hint="default"/>
      </w:rPr>
    </w:lvl>
    <w:lvl w:ilvl="7" w:tplc="04070003" w:tentative="1">
      <w:start w:val="1"/>
      <w:numFmt w:val="bullet"/>
      <w:lvlText w:val="o"/>
      <w:lvlJc w:val="left"/>
      <w:pPr>
        <w:tabs>
          <w:tab w:val="num" w:pos="6327"/>
        </w:tabs>
        <w:ind w:left="6327" w:hanging="360"/>
      </w:pPr>
      <w:rPr>
        <w:rFonts w:ascii="Courier New" w:hAnsi="Courier New" w:hint="default"/>
      </w:rPr>
    </w:lvl>
    <w:lvl w:ilvl="8" w:tplc="04070005" w:tentative="1">
      <w:start w:val="1"/>
      <w:numFmt w:val="bullet"/>
      <w:lvlText w:val=""/>
      <w:lvlJc w:val="left"/>
      <w:pPr>
        <w:tabs>
          <w:tab w:val="num" w:pos="7047"/>
        </w:tabs>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86D"/>
    <w:rsid w:val="000478B9"/>
    <w:rsid w:val="0007149B"/>
    <w:rsid w:val="0009102C"/>
    <w:rsid w:val="000D4B9C"/>
    <w:rsid w:val="0011024C"/>
    <w:rsid w:val="00114227"/>
    <w:rsid w:val="0016197B"/>
    <w:rsid w:val="001825A2"/>
    <w:rsid w:val="001A10C2"/>
    <w:rsid w:val="001B6762"/>
    <w:rsid w:val="001D7533"/>
    <w:rsid w:val="001F41FF"/>
    <w:rsid w:val="00227C83"/>
    <w:rsid w:val="00265401"/>
    <w:rsid w:val="00272BDC"/>
    <w:rsid w:val="00272D13"/>
    <w:rsid w:val="00277A3B"/>
    <w:rsid w:val="002943C1"/>
    <w:rsid w:val="002E3FB1"/>
    <w:rsid w:val="00314A84"/>
    <w:rsid w:val="00317333"/>
    <w:rsid w:val="00384BD3"/>
    <w:rsid w:val="003932BC"/>
    <w:rsid w:val="003A1675"/>
    <w:rsid w:val="003A551B"/>
    <w:rsid w:val="003C41AF"/>
    <w:rsid w:val="003E3A71"/>
    <w:rsid w:val="00405261"/>
    <w:rsid w:val="00423343"/>
    <w:rsid w:val="00433374"/>
    <w:rsid w:val="004354F4"/>
    <w:rsid w:val="00472BB4"/>
    <w:rsid w:val="004C07B7"/>
    <w:rsid w:val="004E7159"/>
    <w:rsid w:val="004F76EE"/>
    <w:rsid w:val="00525AC1"/>
    <w:rsid w:val="00587B6B"/>
    <w:rsid w:val="00592B23"/>
    <w:rsid w:val="00594916"/>
    <w:rsid w:val="005C3F07"/>
    <w:rsid w:val="005D6375"/>
    <w:rsid w:val="005E5D59"/>
    <w:rsid w:val="00603C18"/>
    <w:rsid w:val="00607FD3"/>
    <w:rsid w:val="006803FF"/>
    <w:rsid w:val="006C180D"/>
    <w:rsid w:val="006C6114"/>
    <w:rsid w:val="007051A0"/>
    <w:rsid w:val="007138C9"/>
    <w:rsid w:val="0071716D"/>
    <w:rsid w:val="00730C26"/>
    <w:rsid w:val="007474DA"/>
    <w:rsid w:val="00771BD5"/>
    <w:rsid w:val="00787795"/>
    <w:rsid w:val="007A0847"/>
    <w:rsid w:val="007A35F1"/>
    <w:rsid w:val="007B6AA1"/>
    <w:rsid w:val="007C496F"/>
    <w:rsid w:val="007F2DDA"/>
    <w:rsid w:val="00815B37"/>
    <w:rsid w:val="00820ADD"/>
    <w:rsid w:val="00826CEA"/>
    <w:rsid w:val="00843C04"/>
    <w:rsid w:val="00856D2C"/>
    <w:rsid w:val="00881815"/>
    <w:rsid w:val="00884CBA"/>
    <w:rsid w:val="0089271B"/>
    <w:rsid w:val="008E71F6"/>
    <w:rsid w:val="008F670A"/>
    <w:rsid w:val="009216AE"/>
    <w:rsid w:val="009717E5"/>
    <w:rsid w:val="009730FD"/>
    <w:rsid w:val="009A47F0"/>
    <w:rsid w:val="009F6CD4"/>
    <w:rsid w:val="00A040E4"/>
    <w:rsid w:val="00A10B11"/>
    <w:rsid w:val="00A4786D"/>
    <w:rsid w:val="00A47F5D"/>
    <w:rsid w:val="00A62A4C"/>
    <w:rsid w:val="00AA3B8A"/>
    <w:rsid w:val="00AA5A54"/>
    <w:rsid w:val="00AE27F3"/>
    <w:rsid w:val="00AE3BCB"/>
    <w:rsid w:val="00B317BD"/>
    <w:rsid w:val="00B4212A"/>
    <w:rsid w:val="00B65C47"/>
    <w:rsid w:val="00B96E8F"/>
    <w:rsid w:val="00BF7408"/>
    <w:rsid w:val="00C31A1A"/>
    <w:rsid w:val="00C55615"/>
    <w:rsid w:val="00C7619E"/>
    <w:rsid w:val="00CE6E1F"/>
    <w:rsid w:val="00CF20D9"/>
    <w:rsid w:val="00CF23A3"/>
    <w:rsid w:val="00D171C9"/>
    <w:rsid w:val="00D4399D"/>
    <w:rsid w:val="00D55FC3"/>
    <w:rsid w:val="00D62070"/>
    <w:rsid w:val="00D71B3E"/>
    <w:rsid w:val="00D80504"/>
    <w:rsid w:val="00D808A1"/>
    <w:rsid w:val="00D860EF"/>
    <w:rsid w:val="00D875FC"/>
    <w:rsid w:val="00DC3BF0"/>
    <w:rsid w:val="00DF1006"/>
    <w:rsid w:val="00E04FD9"/>
    <w:rsid w:val="00E27A10"/>
    <w:rsid w:val="00E36BFA"/>
    <w:rsid w:val="00E8391B"/>
    <w:rsid w:val="00E90A74"/>
    <w:rsid w:val="00EB2F09"/>
    <w:rsid w:val="00EB615F"/>
    <w:rsid w:val="00EC41EA"/>
    <w:rsid w:val="00ED0A11"/>
    <w:rsid w:val="00F34975"/>
    <w:rsid w:val="00F3533E"/>
    <w:rsid w:val="00F45595"/>
    <w:rsid w:val="00F5641A"/>
    <w:rsid w:val="00F71441"/>
    <w:rsid w:val="00F77C49"/>
    <w:rsid w:val="00F8701A"/>
    <w:rsid w:val="00FA1DFC"/>
    <w:rsid w:val="00FA279B"/>
    <w:rsid w:val="00FB1FEF"/>
    <w:rsid w:val="00FD1218"/>
    <w:rsid w:val="00FF056B"/>
    <w:rsid w:val="00FF59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1577853"/>
  <w15:docId w15:val="{206955AB-7032-4A74-BA84-424F641BB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tabs>
        <w:tab w:val="left" w:pos="1239"/>
        <w:tab w:val="left" w:pos="3686"/>
        <w:tab w:val="right" w:pos="8845"/>
      </w:tabs>
      <w:spacing w:line="360" w:lineRule="exact"/>
    </w:pPr>
    <w:rPr>
      <w:rFonts w:ascii="Univers" w:hAnsi="Univers"/>
      <w:sz w:val="22"/>
      <w:szCs w:val="24"/>
    </w:rPr>
  </w:style>
  <w:style w:type="paragraph" w:styleId="berschrift1">
    <w:name w:val="heading 1"/>
    <w:basedOn w:val="Standard"/>
    <w:next w:val="Grundtext"/>
    <w:qFormat/>
    <w:pPr>
      <w:keepNext/>
      <w:spacing w:after="360"/>
      <w:outlineLvl w:val="0"/>
    </w:pPr>
    <w:rPr>
      <w:rFonts w:cs="Arial"/>
      <w:b/>
      <w:bCs/>
      <w:kern w:val="32"/>
      <w:sz w:val="26"/>
      <w:szCs w:val="32"/>
    </w:rPr>
  </w:style>
  <w:style w:type="paragraph" w:styleId="berschrift2">
    <w:name w:val="heading 2"/>
    <w:basedOn w:val="Standard"/>
    <w:next w:val="Standard"/>
    <w:qFormat/>
    <w:pPr>
      <w:keepNext/>
      <w:outlineLvl w:val="1"/>
    </w:pPr>
    <w:rPr>
      <w:rFonts w:cs="Arial"/>
      <w:b/>
      <w:bCs/>
      <w:i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link w:val="GrundtextZchn"/>
    <w:pPr>
      <w:tabs>
        <w:tab w:val="clear" w:pos="1239"/>
        <w:tab w:val="clear" w:pos="3686"/>
        <w:tab w:val="clear" w:pos="8845"/>
      </w:tabs>
      <w:spacing w:after="280"/>
    </w:pPr>
  </w:style>
  <w:style w:type="paragraph" w:styleId="Datum">
    <w:name w:val="Date"/>
    <w:basedOn w:val="Standard"/>
    <w:next w:val="Betreff"/>
    <w:pPr>
      <w:spacing w:after="280"/>
    </w:pPr>
  </w:style>
  <w:style w:type="paragraph" w:customStyle="1" w:styleId="Betreff">
    <w:name w:val="Betreff"/>
    <w:basedOn w:val="Standard"/>
    <w:pPr>
      <w:spacing w:after="280"/>
    </w:pPr>
    <w:rPr>
      <w:b/>
    </w:rPr>
  </w:style>
  <w:style w:type="paragraph" w:customStyle="1" w:styleId="Adressen">
    <w:name w:val="Adressen"/>
    <w:basedOn w:val="Standard"/>
  </w:style>
  <w:style w:type="paragraph" w:customStyle="1" w:styleId="AufzhlungMitPunkt">
    <w:name w:val="AufzählungMitPunkt"/>
    <w:basedOn w:val="Grundtext"/>
    <w:pPr>
      <w:numPr>
        <w:numId w:val="2"/>
      </w:numPr>
      <w:tabs>
        <w:tab w:val="num" w:pos="357"/>
      </w:tabs>
      <w:spacing w:after="0" w:line="264" w:lineRule="auto"/>
      <w:ind w:left="357" w:hanging="357"/>
    </w:pPr>
  </w:style>
  <w:style w:type="paragraph" w:customStyle="1" w:styleId="EingercktOhnePunkt">
    <w:name w:val="EingerücktOhnePunkt"/>
    <w:basedOn w:val="Grundtext"/>
    <w:pPr>
      <w:spacing w:after="0" w:line="264" w:lineRule="auto"/>
      <w:ind w:left="714"/>
    </w:pPr>
  </w:style>
  <w:style w:type="table" w:styleId="Tabellenraster">
    <w:name w:val="Table Grid"/>
    <w:basedOn w:val="NormaleTabelle"/>
    <w:rsid w:val="004354F4"/>
    <w:pPr>
      <w:tabs>
        <w:tab w:val="left" w:pos="1239"/>
        <w:tab w:val="left" w:pos="3686"/>
        <w:tab w:val="right" w:pos="8845"/>
      </w:tabs>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undtextZchn">
    <w:name w:val="Grundtext Zchn"/>
    <w:basedOn w:val="Absatz-Standardschriftart"/>
    <w:link w:val="Grundtext"/>
    <w:rsid w:val="004354F4"/>
    <w:rPr>
      <w:rFonts w:ascii="Univers" w:hAnsi="Univers"/>
      <w:sz w:val="22"/>
      <w:szCs w:val="24"/>
      <w:lang w:val="de-DE" w:eastAsia="de-DE" w:bidi="ar-SA"/>
    </w:rPr>
  </w:style>
  <w:style w:type="paragraph" w:styleId="StandardWeb">
    <w:name w:val="Normal (Web)"/>
    <w:basedOn w:val="Standard"/>
    <w:rsid w:val="0016197B"/>
    <w:pPr>
      <w:tabs>
        <w:tab w:val="clear" w:pos="1239"/>
        <w:tab w:val="clear" w:pos="3686"/>
        <w:tab w:val="clear" w:pos="8845"/>
      </w:tabs>
      <w:spacing w:before="100" w:beforeAutospacing="1" w:after="100" w:afterAutospacing="1" w:line="240" w:lineRule="auto"/>
    </w:pPr>
    <w:rPr>
      <w:rFonts w:ascii="Arial Unicode MS" w:eastAsia="Arial Unicode MS" w:hAnsi="Arial Unicode MS" w:cs="Arial Unicode MS"/>
      <w:sz w:val="24"/>
    </w:rPr>
  </w:style>
  <w:style w:type="character" w:styleId="Hyperlink">
    <w:name w:val="Hyperlink"/>
    <w:basedOn w:val="Absatz-Standardschriftart"/>
    <w:rsid w:val="00D860EF"/>
    <w:rPr>
      <w:color w:val="0000FF"/>
      <w:u w:val="single"/>
    </w:rPr>
  </w:style>
  <w:style w:type="paragraph" w:styleId="Kopfzeile">
    <w:name w:val="header"/>
    <w:basedOn w:val="Standard"/>
    <w:link w:val="KopfzeileZchn"/>
    <w:rsid w:val="00D171C9"/>
    <w:pPr>
      <w:tabs>
        <w:tab w:val="clear" w:pos="1239"/>
        <w:tab w:val="clear" w:pos="3686"/>
        <w:tab w:val="clear" w:pos="8845"/>
        <w:tab w:val="center" w:pos="4536"/>
        <w:tab w:val="right" w:pos="9072"/>
      </w:tabs>
      <w:spacing w:line="240" w:lineRule="auto"/>
    </w:pPr>
  </w:style>
  <w:style w:type="character" w:customStyle="1" w:styleId="KopfzeileZchn">
    <w:name w:val="Kopfzeile Zchn"/>
    <w:basedOn w:val="Absatz-Standardschriftart"/>
    <w:link w:val="Kopfzeile"/>
    <w:rsid w:val="00D171C9"/>
    <w:rPr>
      <w:rFonts w:ascii="Univers" w:hAnsi="Univers"/>
      <w:sz w:val="22"/>
      <w:szCs w:val="24"/>
    </w:rPr>
  </w:style>
  <w:style w:type="paragraph" w:styleId="Fuzeile">
    <w:name w:val="footer"/>
    <w:basedOn w:val="Standard"/>
    <w:link w:val="FuzeileZchn"/>
    <w:rsid w:val="00D171C9"/>
    <w:pPr>
      <w:tabs>
        <w:tab w:val="clear" w:pos="1239"/>
        <w:tab w:val="clear" w:pos="3686"/>
        <w:tab w:val="clear" w:pos="8845"/>
        <w:tab w:val="center" w:pos="4536"/>
        <w:tab w:val="right" w:pos="9072"/>
      </w:tabs>
      <w:spacing w:line="240" w:lineRule="auto"/>
    </w:pPr>
  </w:style>
  <w:style w:type="character" w:customStyle="1" w:styleId="FuzeileZchn">
    <w:name w:val="Fußzeile Zchn"/>
    <w:basedOn w:val="Absatz-Standardschriftart"/>
    <w:link w:val="Fuzeile"/>
    <w:rsid w:val="00D171C9"/>
    <w:rPr>
      <w:rFonts w:ascii="Univers" w:hAnsi="Univers"/>
      <w:sz w:val="22"/>
      <w:szCs w:val="24"/>
    </w:rPr>
  </w:style>
  <w:style w:type="character" w:customStyle="1" w:styleId="NichtaufgelsteErwhnung1">
    <w:name w:val="Nicht aufgelöste Erwähnung1"/>
    <w:basedOn w:val="Absatz-Standardschriftart"/>
    <w:uiPriority w:val="99"/>
    <w:semiHidden/>
    <w:unhideWhenUsed/>
    <w:rsid w:val="00603C18"/>
    <w:rPr>
      <w:color w:val="605E5C"/>
      <w:shd w:val="clear" w:color="auto" w:fill="E1DFDD"/>
    </w:rPr>
  </w:style>
  <w:style w:type="paragraph" w:styleId="Sprechblasentext">
    <w:name w:val="Balloon Text"/>
    <w:basedOn w:val="Standard"/>
    <w:link w:val="SprechblasentextZchn"/>
    <w:rsid w:val="0043337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433374"/>
    <w:rPr>
      <w:rFonts w:ascii="Tahoma" w:hAnsi="Tahoma" w:cs="Tahoma"/>
      <w:sz w:val="16"/>
      <w:szCs w:val="16"/>
    </w:rPr>
  </w:style>
  <w:style w:type="character" w:styleId="NichtaufgelsteErwhnung">
    <w:name w:val="Unresolved Mention"/>
    <w:basedOn w:val="Absatz-Standardschriftart"/>
    <w:uiPriority w:val="99"/>
    <w:semiHidden/>
    <w:unhideWhenUsed/>
    <w:rsid w:val="00272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sl.bfach.de/media/file/58751.KKI_2024-2025_BFACH_Studie.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sl.bfach.de/media/file/58741.KKI_2024-2025_BFACH_Infografik.pdf"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tephan.moll@bfach.de"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jubuncic\AppData\Roaming\Microsoft\Templates\BFACH-PI_75_23-MM-TT_Titel_Entwurf%20Mo_mod.dotx" TargetMode="External"/></Relationships>
</file>

<file path=word/theme/theme1.xml><?xml version="1.0" encoding="utf-8"?>
<a:theme xmlns:a="http://schemas.openxmlformats.org/drawingml/2006/main" name="Larissa">
  <a:themeElements>
    <a:clrScheme name="BFACH-Palette">
      <a:dk1>
        <a:sysClr val="windowText" lastClr="000000"/>
      </a:dk1>
      <a:lt1>
        <a:sysClr val="window" lastClr="FFFFFF"/>
      </a:lt1>
      <a:dk2>
        <a:srgbClr val="1F497D"/>
      </a:dk2>
      <a:lt2>
        <a:srgbClr val="EEECE1"/>
      </a:lt2>
      <a:accent1>
        <a:srgbClr val="004E9E"/>
      </a:accent1>
      <a:accent2>
        <a:srgbClr val="AB0059"/>
      </a:accent2>
      <a:accent3>
        <a:srgbClr val="C0C0C0"/>
      </a:accent3>
      <a:accent4>
        <a:srgbClr val="999999"/>
      </a:accent4>
      <a:accent5>
        <a:srgbClr val="808080"/>
      </a:accent5>
      <a:accent6>
        <a:srgbClr val="333333"/>
      </a:accent6>
      <a:hlink>
        <a:srgbClr val="0000FF"/>
      </a:hlink>
      <a:folHlink>
        <a:srgbClr val="800080"/>
      </a:folHlink>
    </a:clrScheme>
    <a:fontScheme name="BFACH">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BFACH-PI_75_23-MM-TT_Titel_Entwurf Mo_mod.dotx</Template>
  <TotalTime>0</TotalTime>
  <Pages>2</Pages>
  <Words>344</Words>
  <Characters>2569</Characters>
  <Application>Microsoft Office Word</Application>
  <DocSecurity>0</DocSecurity>
  <Lines>51</Lines>
  <Paragraphs>17</Paragraphs>
  <ScaleCrop>false</ScaleCrop>
  <HeadingPairs>
    <vt:vector size="2" baseType="variant">
      <vt:variant>
        <vt:lpstr>Titel</vt:lpstr>
      </vt:variant>
      <vt:variant>
        <vt:i4>1</vt:i4>
      </vt:variant>
    </vt:vector>
  </HeadingPairs>
  <TitlesOfParts>
    <vt:vector size="1" baseType="lpstr">
      <vt:lpstr>Adresse1</vt:lpstr>
    </vt:vector>
  </TitlesOfParts>
  <Company/>
  <LinksUpToDate>false</LinksUpToDate>
  <CharactersWithSpaces>2896</CharactersWithSpaces>
  <SharedDoc>false</SharedDoc>
  <HLinks>
    <vt:vector size="6" baseType="variant">
      <vt:variant>
        <vt:i4>8192013</vt:i4>
      </vt:variant>
      <vt:variant>
        <vt:i4>0</vt:i4>
      </vt:variant>
      <vt:variant>
        <vt:i4>0</vt:i4>
      </vt:variant>
      <vt:variant>
        <vt:i4>5</vt:i4>
      </vt:variant>
      <vt:variant>
        <vt:lpwstr>mailto:stephan.moll@bfach.de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Adresse1</dc:title>
  <dc:creator>Technik</dc:creator>
  <cp:lastModifiedBy>Nermana Ljubuncic</cp:lastModifiedBy>
  <cp:revision>2</cp:revision>
  <cp:lastPrinted>2024-03-19T13:27:00Z</cp:lastPrinted>
  <dcterms:created xsi:type="dcterms:W3CDTF">2024-07-31T07:15:00Z</dcterms:created>
  <dcterms:modified xsi:type="dcterms:W3CDTF">2024-07-31T07:15:00Z</dcterms:modified>
</cp:coreProperties>
</file>