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603E2" w14:textId="77777777" w:rsidR="007C54CE" w:rsidRDefault="007C54CE" w:rsidP="00CF23A3">
      <w:pPr>
        <w:pStyle w:val="Grundtext"/>
        <w:suppressAutoHyphens/>
        <w:spacing w:after="360"/>
        <w:rPr>
          <w:rFonts w:cs="Arial"/>
          <w:b/>
          <w:bCs/>
          <w:kern w:val="32"/>
          <w:sz w:val="26"/>
          <w:szCs w:val="32"/>
        </w:rPr>
      </w:pPr>
      <w:r w:rsidRPr="007C54CE">
        <w:rPr>
          <w:rFonts w:cs="Arial"/>
          <w:b/>
          <w:bCs/>
          <w:kern w:val="32"/>
          <w:sz w:val="26"/>
          <w:szCs w:val="32"/>
        </w:rPr>
        <w:t>Kreditbanken: Schwache Kfz-Nachfrage bremst Kreditneugeschäft – Investitionszurückhaltung belastet Wirtschaft</w:t>
      </w:r>
    </w:p>
    <w:p w14:paraId="76AFD48F" w14:textId="78B169D6" w:rsidR="007C54CE" w:rsidRDefault="007C54CE" w:rsidP="007C54CE">
      <w:pPr>
        <w:pStyle w:val="Grundtext"/>
        <w:suppressAutoHyphens/>
        <w:spacing w:after="360"/>
      </w:pPr>
      <w:r>
        <w:t>Berlin</w:t>
      </w:r>
      <w:r w:rsidR="00F71441" w:rsidRPr="00242DC2">
        <w:t xml:space="preserve">, </w:t>
      </w:r>
      <w:r w:rsidR="001F4831" w:rsidRPr="001F4831">
        <w:t>17</w:t>
      </w:r>
      <w:r w:rsidR="00F71441" w:rsidRPr="001F4831">
        <w:t>.</w:t>
      </w:r>
      <w:r w:rsidR="00F71441" w:rsidRPr="00242DC2">
        <w:t xml:space="preserve"> </w:t>
      </w:r>
      <w:r>
        <w:t>September</w:t>
      </w:r>
      <w:r w:rsidR="00F71441" w:rsidRPr="00242DC2">
        <w:t xml:space="preserve"> </w:t>
      </w:r>
      <w:r>
        <w:t>2025</w:t>
      </w:r>
      <w:r w:rsidR="00F71441" w:rsidRPr="00242DC2">
        <w:t xml:space="preserve">. </w:t>
      </w:r>
      <w:r>
        <w:t xml:space="preserve">Die Kreditbanken haben im ersten Halbjahr 2025 ein stabiles Kreditneugeschäft in Höhe von 66,7 Milliarden Euro erzielt (+0,3 </w:t>
      </w:r>
      <w:r w:rsidR="00037EBD">
        <w:t>Prozent</w:t>
      </w:r>
      <w:r>
        <w:t xml:space="preserve"> gegenüber dem Vorjahreszeitraum). Während die Konsumfinanzierung erneut wachsen konnte, sorgte die Investitionszurückhaltung der Unternehmen für einen deutlichen Rückgang im Geschäft mit Investitionsfinanzierungen. Besonders betroffen war das Kfz-Geschäft.</w:t>
      </w:r>
      <w:r w:rsidR="00037EBD">
        <w:t xml:space="preserve"> </w:t>
      </w:r>
    </w:p>
    <w:p w14:paraId="527A5B86" w14:textId="3587B629" w:rsidR="00F71441" w:rsidRDefault="007C54CE" w:rsidP="007C54CE">
      <w:pPr>
        <w:pStyle w:val="Grundtext"/>
        <w:suppressAutoHyphens/>
        <w:spacing w:after="360"/>
      </w:pPr>
      <w:r>
        <w:t xml:space="preserve">„Die Kreditbanken sind ein Seismograph für die wirtschaftliche Lage. Unsere Zahlen zeigen: </w:t>
      </w:r>
      <w:r w:rsidR="00E63FE8">
        <w:t>Konsumenten</w:t>
      </w:r>
      <w:r w:rsidR="00E63FE8" w:rsidRPr="00E63FE8">
        <w:t xml:space="preserve"> </w:t>
      </w:r>
      <w:r w:rsidR="009D1A19">
        <w:t xml:space="preserve">bewegen sich mit der Finanzierung </w:t>
      </w:r>
      <w:r w:rsidR="000828DE">
        <w:t>ihre</w:t>
      </w:r>
      <w:r w:rsidR="009D1A19">
        <w:t>r</w:t>
      </w:r>
      <w:r w:rsidR="000828DE">
        <w:t xml:space="preserve"> Anschaffungen </w:t>
      </w:r>
      <w:r w:rsidR="009D1A19">
        <w:t>leicht über dem Niveau des Vorjahreszeitraumes</w:t>
      </w:r>
      <w:r w:rsidR="009D1A19" w:rsidRPr="009D1A19">
        <w:t xml:space="preserve">. </w:t>
      </w:r>
      <w:r w:rsidR="009D1A19" w:rsidRPr="001F4831">
        <w:t>Unternehmen</w:t>
      </w:r>
      <w:r w:rsidR="009D1A19">
        <w:t xml:space="preserve"> hingegen </w:t>
      </w:r>
      <w:r>
        <w:t xml:space="preserve">halten sich bei Investitionen zurück. Das ist ein </w:t>
      </w:r>
      <w:r w:rsidR="009E24F5">
        <w:t xml:space="preserve">weiteres </w:t>
      </w:r>
      <w:r>
        <w:t xml:space="preserve">Warnsignal für den Standort Deutschland“, sagt </w:t>
      </w:r>
      <w:r w:rsidR="00906CE2">
        <w:t>Jens Loa</w:t>
      </w:r>
      <w:r>
        <w:t>, Geschäftsführer des Bankenfachverbandes.</w:t>
      </w:r>
    </w:p>
    <w:p w14:paraId="3B15FAF9" w14:textId="77777777" w:rsidR="007C54CE" w:rsidRPr="007C54CE" w:rsidRDefault="000B7AC5" w:rsidP="007C54CE">
      <w:pPr>
        <w:pStyle w:val="Grundtext"/>
        <w:suppressAutoHyphens/>
        <w:spacing w:after="360"/>
        <w:rPr>
          <w:rFonts w:cs="Arial"/>
          <w:b/>
          <w:bCs/>
          <w:iCs/>
          <w:szCs w:val="28"/>
        </w:rPr>
      </w:pPr>
      <w:r>
        <w:rPr>
          <w:rFonts w:cs="Arial"/>
          <w:b/>
          <w:bCs/>
          <w:iCs/>
          <w:szCs w:val="28"/>
        </w:rPr>
        <w:t>Mehr Konsum-, weniger Investitionskredite</w:t>
      </w:r>
    </w:p>
    <w:p w14:paraId="5549ED62" w14:textId="74C68A2F" w:rsidR="007C54CE" w:rsidRPr="007C54CE" w:rsidRDefault="007C54CE" w:rsidP="007C54CE">
      <w:pPr>
        <w:pStyle w:val="Grundtext"/>
        <w:suppressAutoHyphens/>
        <w:spacing w:after="360"/>
        <w:rPr>
          <w:rFonts w:cs="Arial"/>
          <w:bCs/>
          <w:iCs/>
          <w:szCs w:val="28"/>
        </w:rPr>
      </w:pPr>
      <w:r w:rsidRPr="007C54CE">
        <w:rPr>
          <w:rFonts w:cs="Arial"/>
          <w:bCs/>
          <w:iCs/>
          <w:szCs w:val="28"/>
        </w:rPr>
        <w:t xml:space="preserve">Das </w:t>
      </w:r>
      <w:r w:rsidR="00533F85">
        <w:rPr>
          <w:rFonts w:cs="Arial"/>
          <w:bCs/>
          <w:iCs/>
          <w:szCs w:val="28"/>
        </w:rPr>
        <w:t>Neugeschäft</w:t>
      </w:r>
      <w:r w:rsidRPr="007C54CE">
        <w:rPr>
          <w:rFonts w:cs="Arial"/>
          <w:bCs/>
          <w:iCs/>
          <w:szCs w:val="28"/>
        </w:rPr>
        <w:t xml:space="preserve"> der Kfz-Kredite </w:t>
      </w:r>
      <w:r w:rsidR="00533F85">
        <w:rPr>
          <w:rFonts w:cs="Arial"/>
          <w:bCs/>
          <w:iCs/>
          <w:szCs w:val="28"/>
        </w:rPr>
        <w:t xml:space="preserve">an Privatpersonen und Unternehmen </w:t>
      </w:r>
      <w:r w:rsidR="00C20208">
        <w:rPr>
          <w:rFonts w:cs="Arial"/>
          <w:bCs/>
          <w:iCs/>
          <w:szCs w:val="28"/>
        </w:rPr>
        <w:t>belief sich</w:t>
      </w:r>
      <w:r w:rsidRPr="007C54CE">
        <w:rPr>
          <w:rFonts w:cs="Arial"/>
          <w:bCs/>
          <w:iCs/>
          <w:szCs w:val="28"/>
        </w:rPr>
        <w:t xml:space="preserve"> im ersten Halbjahr </w:t>
      </w:r>
      <w:r w:rsidR="000B7AC5">
        <w:rPr>
          <w:rFonts w:cs="Arial"/>
          <w:bCs/>
          <w:iCs/>
          <w:szCs w:val="28"/>
        </w:rPr>
        <w:t xml:space="preserve">2025 </w:t>
      </w:r>
      <w:r w:rsidRPr="007C54CE">
        <w:rPr>
          <w:rFonts w:cs="Arial"/>
          <w:bCs/>
          <w:iCs/>
          <w:szCs w:val="28"/>
        </w:rPr>
        <w:t>auf 11,9 Milliarden Euro und lag damit 1,3 Prozent unter dem Vorjahr</w:t>
      </w:r>
      <w:r w:rsidR="00533F85">
        <w:rPr>
          <w:rFonts w:cs="Arial"/>
          <w:bCs/>
          <w:iCs/>
          <w:szCs w:val="28"/>
        </w:rPr>
        <w:t>eszeitraum</w:t>
      </w:r>
      <w:r w:rsidRPr="007C54CE">
        <w:rPr>
          <w:rFonts w:cs="Arial"/>
          <w:bCs/>
          <w:iCs/>
          <w:szCs w:val="28"/>
        </w:rPr>
        <w:t xml:space="preserve">. Insgesamt </w:t>
      </w:r>
      <w:r w:rsidR="00533F85">
        <w:rPr>
          <w:rFonts w:cs="Arial"/>
          <w:bCs/>
          <w:iCs/>
          <w:szCs w:val="28"/>
        </w:rPr>
        <w:t xml:space="preserve">haben die Kreditbanken rund </w:t>
      </w:r>
      <w:r w:rsidRPr="007C54CE">
        <w:rPr>
          <w:rFonts w:cs="Arial"/>
          <w:bCs/>
          <w:iCs/>
          <w:szCs w:val="28"/>
        </w:rPr>
        <w:t xml:space="preserve">786.000 Fahrzeuge </w:t>
      </w:r>
      <w:r w:rsidR="00533F85">
        <w:rPr>
          <w:rFonts w:cs="Arial"/>
          <w:bCs/>
          <w:iCs/>
          <w:szCs w:val="28"/>
        </w:rPr>
        <w:t xml:space="preserve">per Kredit und Leasing </w:t>
      </w:r>
      <w:r w:rsidRPr="007C54CE">
        <w:rPr>
          <w:rFonts w:cs="Arial"/>
          <w:bCs/>
          <w:iCs/>
          <w:szCs w:val="28"/>
        </w:rPr>
        <w:t>finanziert – ein Minus von 3,6 Prozent.</w:t>
      </w:r>
      <w:r w:rsidR="00DF6A6A">
        <w:rPr>
          <w:rFonts w:cs="Arial"/>
          <w:bCs/>
          <w:iCs/>
          <w:szCs w:val="28"/>
        </w:rPr>
        <w:t xml:space="preserve"> </w:t>
      </w:r>
      <w:r w:rsidR="00037EBD" w:rsidRPr="00037EBD">
        <w:rPr>
          <w:rFonts w:cs="Arial"/>
          <w:bCs/>
          <w:iCs/>
          <w:szCs w:val="28"/>
        </w:rPr>
        <w:t>Zum Vergleich: Laut Kraftfahrt</w:t>
      </w:r>
      <w:r w:rsidR="00037EBD">
        <w:rPr>
          <w:rFonts w:cs="Arial"/>
          <w:bCs/>
          <w:iCs/>
          <w:szCs w:val="28"/>
        </w:rPr>
        <w:t>b</w:t>
      </w:r>
      <w:r w:rsidR="00037EBD" w:rsidRPr="00037EBD">
        <w:rPr>
          <w:rFonts w:cs="Arial"/>
          <w:bCs/>
          <w:iCs/>
          <w:szCs w:val="28"/>
        </w:rPr>
        <w:t xml:space="preserve">undesamt wurden </w:t>
      </w:r>
      <w:r w:rsidR="00037EBD">
        <w:rPr>
          <w:rFonts w:cs="Arial"/>
          <w:bCs/>
          <w:iCs/>
          <w:szCs w:val="28"/>
        </w:rPr>
        <w:t xml:space="preserve">im selben Zeitraum </w:t>
      </w:r>
      <w:r w:rsidR="00037EBD" w:rsidRPr="00037EBD">
        <w:rPr>
          <w:rFonts w:cs="Arial"/>
          <w:bCs/>
          <w:iCs/>
          <w:szCs w:val="28"/>
        </w:rPr>
        <w:t xml:space="preserve">bundesweit 8,2 Prozent weniger </w:t>
      </w:r>
      <w:r w:rsidR="00C75EA5">
        <w:rPr>
          <w:rFonts w:cs="Arial"/>
          <w:bCs/>
          <w:iCs/>
          <w:szCs w:val="28"/>
        </w:rPr>
        <w:t>Kfz</w:t>
      </w:r>
      <w:r w:rsidR="00037EBD" w:rsidRPr="00037EBD">
        <w:rPr>
          <w:rFonts w:cs="Arial"/>
          <w:bCs/>
          <w:iCs/>
          <w:szCs w:val="28"/>
        </w:rPr>
        <w:t xml:space="preserve"> neu zugelassen.</w:t>
      </w:r>
    </w:p>
    <w:p w14:paraId="1024BB05" w14:textId="3CF21482" w:rsidR="007C54CE" w:rsidRPr="007C54CE" w:rsidRDefault="007C54CE" w:rsidP="007C54CE">
      <w:pPr>
        <w:pStyle w:val="Grundtext"/>
        <w:suppressAutoHyphens/>
        <w:spacing w:after="360"/>
        <w:rPr>
          <w:rFonts w:cs="Arial"/>
          <w:bCs/>
          <w:iCs/>
          <w:szCs w:val="28"/>
        </w:rPr>
      </w:pPr>
      <w:r w:rsidRPr="007C54CE">
        <w:rPr>
          <w:rFonts w:cs="Arial"/>
          <w:bCs/>
          <w:iCs/>
          <w:szCs w:val="28"/>
        </w:rPr>
        <w:t xml:space="preserve">In der Konsumfinanzierung </w:t>
      </w:r>
      <w:r w:rsidR="00C20208">
        <w:rPr>
          <w:rFonts w:cs="Arial"/>
          <w:bCs/>
          <w:iCs/>
          <w:szCs w:val="28"/>
        </w:rPr>
        <w:t xml:space="preserve">belief sich </w:t>
      </w:r>
      <w:r w:rsidRPr="00E137BA">
        <w:rPr>
          <w:rFonts w:cs="Arial"/>
          <w:bCs/>
          <w:iCs/>
          <w:szCs w:val="28"/>
        </w:rPr>
        <w:t xml:space="preserve">das Neugeschäft </w:t>
      </w:r>
      <w:r w:rsidR="00C20208">
        <w:rPr>
          <w:rFonts w:cs="Arial"/>
          <w:bCs/>
          <w:iCs/>
          <w:szCs w:val="28"/>
        </w:rPr>
        <w:t xml:space="preserve">auf </w:t>
      </w:r>
      <w:r w:rsidR="00533F85" w:rsidRPr="00E137BA">
        <w:rPr>
          <w:rFonts w:cs="Arial"/>
          <w:bCs/>
          <w:iCs/>
          <w:szCs w:val="28"/>
        </w:rPr>
        <w:t xml:space="preserve">insgesamt </w:t>
      </w:r>
      <w:r w:rsidRPr="007C54CE">
        <w:rPr>
          <w:rFonts w:cs="Arial"/>
          <w:bCs/>
          <w:iCs/>
          <w:szCs w:val="28"/>
        </w:rPr>
        <w:t>30</w:t>
      </w:r>
      <w:r w:rsidR="00B34BFC">
        <w:rPr>
          <w:rFonts w:cs="Arial"/>
          <w:bCs/>
          <w:iCs/>
          <w:szCs w:val="28"/>
        </w:rPr>
        <w:t>,0</w:t>
      </w:r>
      <w:r w:rsidRPr="007C54CE">
        <w:rPr>
          <w:rFonts w:cs="Arial"/>
          <w:bCs/>
          <w:iCs/>
          <w:szCs w:val="28"/>
        </w:rPr>
        <w:t xml:space="preserve"> Milliarden Euro, was einem Zuwachs von 4,2 Prozent </w:t>
      </w:r>
      <w:r w:rsidR="00C20208" w:rsidRPr="006571F2">
        <w:rPr>
          <w:rFonts w:cs="Arial"/>
          <w:bCs/>
          <w:iCs/>
          <w:szCs w:val="28"/>
        </w:rPr>
        <w:t xml:space="preserve">im </w:t>
      </w:r>
      <w:r w:rsidR="00945A32">
        <w:rPr>
          <w:rFonts w:cs="Arial"/>
          <w:bCs/>
          <w:iCs/>
          <w:szCs w:val="28"/>
        </w:rPr>
        <w:t xml:space="preserve">Vergleich zum Vorjahreszeitraum </w:t>
      </w:r>
      <w:r w:rsidRPr="007C54CE">
        <w:rPr>
          <w:rFonts w:cs="Arial"/>
          <w:bCs/>
          <w:iCs/>
          <w:szCs w:val="28"/>
        </w:rPr>
        <w:t>entspricht. Die Finanzierung von Pkw entwickelte sich in diesem Segment stabil und legte leicht um 1,1 Prozent auf 9,3 Milliarden Euro zu. Besonders stark wuchs das Geschäft mit Internet-Krediten: Mit einem Volumen von 9,6 Milliarden Euro erzielte es ein Plus von 17,5 Prozent</w:t>
      </w:r>
      <w:r w:rsidR="00C20208">
        <w:rPr>
          <w:rFonts w:cs="Arial"/>
          <w:bCs/>
          <w:iCs/>
          <w:szCs w:val="28"/>
        </w:rPr>
        <w:t xml:space="preserve"> </w:t>
      </w:r>
      <w:r w:rsidR="00C20208" w:rsidRPr="006571F2">
        <w:rPr>
          <w:rFonts w:cs="Arial"/>
          <w:bCs/>
          <w:iCs/>
          <w:szCs w:val="28"/>
        </w:rPr>
        <w:t>gegenüber dem Vorjahreshalbjahr</w:t>
      </w:r>
      <w:r w:rsidRPr="007C54CE">
        <w:rPr>
          <w:rFonts w:cs="Arial"/>
          <w:bCs/>
          <w:iCs/>
          <w:szCs w:val="28"/>
        </w:rPr>
        <w:t>.</w:t>
      </w:r>
    </w:p>
    <w:p w14:paraId="6C27704D" w14:textId="4612FFDF" w:rsidR="007C54CE" w:rsidRPr="007C54CE" w:rsidRDefault="007C54CE" w:rsidP="007C54CE">
      <w:pPr>
        <w:pStyle w:val="Grundtext"/>
        <w:suppressAutoHyphens/>
        <w:spacing w:after="360"/>
        <w:rPr>
          <w:rFonts w:cs="Arial"/>
          <w:bCs/>
          <w:iCs/>
          <w:szCs w:val="28"/>
        </w:rPr>
      </w:pPr>
      <w:r w:rsidRPr="007C54CE">
        <w:rPr>
          <w:rFonts w:cs="Arial"/>
          <w:bCs/>
          <w:iCs/>
          <w:szCs w:val="28"/>
        </w:rPr>
        <w:lastRenderedPageBreak/>
        <w:t xml:space="preserve">Deutlich schwächer war die Entwicklung in der Investitionsfinanzierung. Das </w:t>
      </w:r>
      <w:r w:rsidR="00533F85">
        <w:rPr>
          <w:rFonts w:cs="Arial"/>
          <w:bCs/>
          <w:iCs/>
          <w:szCs w:val="28"/>
        </w:rPr>
        <w:t>Kreditne</w:t>
      </w:r>
      <w:r w:rsidRPr="007C54CE">
        <w:rPr>
          <w:rFonts w:cs="Arial"/>
          <w:bCs/>
          <w:iCs/>
          <w:szCs w:val="28"/>
        </w:rPr>
        <w:t>ugeschäft belief sich hier auf 5,2 Milliarden Euro</w:t>
      </w:r>
      <w:r w:rsidR="006154FF">
        <w:rPr>
          <w:rFonts w:cs="Arial"/>
          <w:bCs/>
          <w:iCs/>
          <w:szCs w:val="28"/>
        </w:rPr>
        <w:t xml:space="preserve"> –</w:t>
      </w:r>
      <w:r w:rsidRPr="007C54CE">
        <w:rPr>
          <w:rFonts w:cs="Arial"/>
          <w:bCs/>
          <w:iCs/>
          <w:szCs w:val="28"/>
        </w:rPr>
        <w:t xml:space="preserve"> ein Rückgang um 6,6 Prozent</w:t>
      </w:r>
      <w:r w:rsidR="00C20208">
        <w:rPr>
          <w:rFonts w:cs="Arial"/>
          <w:bCs/>
          <w:iCs/>
          <w:szCs w:val="28"/>
        </w:rPr>
        <w:t xml:space="preserve"> im Vergleich </w:t>
      </w:r>
      <w:r w:rsidR="00C20208" w:rsidRPr="00E137BA">
        <w:rPr>
          <w:rFonts w:cs="Arial"/>
          <w:bCs/>
          <w:iCs/>
          <w:szCs w:val="28"/>
        </w:rPr>
        <w:t xml:space="preserve">zum </w:t>
      </w:r>
      <w:r w:rsidR="00E137BA">
        <w:rPr>
          <w:rFonts w:cs="Arial"/>
          <w:bCs/>
          <w:iCs/>
          <w:szCs w:val="28"/>
        </w:rPr>
        <w:t xml:space="preserve">ersten </w:t>
      </w:r>
      <w:r w:rsidR="00C20208" w:rsidRPr="00E137BA">
        <w:rPr>
          <w:rFonts w:cs="Arial"/>
          <w:bCs/>
          <w:iCs/>
          <w:szCs w:val="28"/>
        </w:rPr>
        <w:t>Halbjahr 2024</w:t>
      </w:r>
      <w:r w:rsidRPr="007C54CE">
        <w:rPr>
          <w:rFonts w:cs="Arial"/>
          <w:bCs/>
          <w:iCs/>
          <w:szCs w:val="28"/>
        </w:rPr>
        <w:t xml:space="preserve">. </w:t>
      </w:r>
      <w:r w:rsidR="00906CE2" w:rsidRPr="00906CE2">
        <w:rPr>
          <w:rFonts w:cs="Arial"/>
          <w:bCs/>
          <w:iCs/>
          <w:szCs w:val="28"/>
        </w:rPr>
        <w:t xml:space="preserve">Vor allem die Finanzierung von Firmenfahrzeugen </w:t>
      </w:r>
      <w:r w:rsidR="00906CE2">
        <w:rPr>
          <w:rFonts w:cs="Arial"/>
          <w:bCs/>
          <w:iCs/>
          <w:szCs w:val="28"/>
        </w:rPr>
        <w:t>ging deutlich zurück</w:t>
      </w:r>
      <w:r w:rsidR="00906CE2" w:rsidRPr="00906CE2">
        <w:rPr>
          <w:rFonts w:cs="Arial"/>
          <w:bCs/>
          <w:iCs/>
          <w:szCs w:val="28"/>
        </w:rPr>
        <w:t>: Sie sank um 9,2 Prozent auf 2,6 Milliarden Euro.</w:t>
      </w:r>
    </w:p>
    <w:p w14:paraId="400C30BC" w14:textId="63F88E0B" w:rsidR="007C54CE" w:rsidRPr="007C54CE" w:rsidRDefault="007C54CE" w:rsidP="007C54CE">
      <w:pPr>
        <w:pStyle w:val="Grundtext"/>
        <w:suppressAutoHyphens/>
        <w:spacing w:after="360"/>
        <w:rPr>
          <w:rFonts w:cs="Arial"/>
          <w:bCs/>
          <w:iCs/>
          <w:szCs w:val="28"/>
        </w:rPr>
      </w:pPr>
      <w:r w:rsidRPr="007C54CE">
        <w:rPr>
          <w:rFonts w:cs="Arial"/>
          <w:bCs/>
          <w:iCs/>
          <w:szCs w:val="28"/>
        </w:rPr>
        <w:t>Zum Vergleich: Im Gesamtjahr 2024 hatten die Kreditbanken ihr Neugeschäft noch um 4,4 Prozent auf 133</w:t>
      </w:r>
      <w:r w:rsidR="00B34BFC">
        <w:rPr>
          <w:rFonts w:cs="Arial"/>
          <w:bCs/>
          <w:iCs/>
          <w:szCs w:val="28"/>
        </w:rPr>
        <w:t>,0</w:t>
      </w:r>
      <w:r w:rsidRPr="007C54CE">
        <w:rPr>
          <w:rFonts w:cs="Arial"/>
          <w:bCs/>
          <w:iCs/>
          <w:szCs w:val="28"/>
        </w:rPr>
        <w:t xml:space="preserve"> Milliarden Euro ausge</w:t>
      </w:r>
      <w:r w:rsidR="00533F85">
        <w:rPr>
          <w:rFonts w:cs="Arial"/>
          <w:bCs/>
          <w:iCs/>
          <w:szCs w:val="28"/>
        </w:rPr>
        <w:t>baut</w:t>
      </w:r>
      <w:r w:rsidRPr="007C54CE">
        <w:rPr>
          <w:rFonts w:cs="Arial"/>
          <w:bCs/>
          <w:iCs/>
          <w:szCs w:val="28"/>
        </w:rPr>
        <w:t>. Insbesondere die Konsumfinanzierung war mit einem Plus von 8,1 Prozent auf 57</w:t>
      </w:r>
      <w:r w:rsidR="00B34BFC">
        <w:rPr>
          <w:rFonts w:cs="Arial"/>
          <w:bCs/>
          <w:iCs/>
          <w:szCs w:val="28"/>
        </w:rPr>
        <w:t>,0</w:t>
      </w:r>
      <w:r w:rsidRPr="007C54CE">
        <w:rPr>
          <w:rFonts w:cs="Arial"/>
          <w:bCs/>
          <w:iCs/>
          <w:szCs w:val="28"/>
        </w:rPr>
        <w:t xml:space="preserve"> Milliarden Euro gewachsen. Auch die Kfz-Finanzierung entwickelte sich im </w:t>
      </w:r>
      <w:r w:rsidR="006154FF">
        <w:rPr>
          <w:rFonts w:cs="Arial"/>
          <w:bCs/>
          <w:iCs/>
          <w:szCs w:val="28"/>
        </w:rPr>
        <w:t>Jahr 2024 noch</w:t>
      </w:r>
      <w:r w:rsidRPr="007C54CE">
        <w:rPr>
          <w:rFonts w:cs="Arial"/>
          <w:bCs/>
          <w:iCs/>
          <w:szCs w:val="28"/>
        </w:rPr>
        <w:t xml:space="preserve"> positiv: Das </w:t>
      </w:r>
      <w:r w:rsidR="00533F85">
        <w:rPr>
          <w:rFonts w:cs="Arial"/>
          <w:bCs/>
          <w:iCs/>
          <w:szCs w:val="28"/>
        </w:rPr>
        <w:t>Kreditneugeschäft</w:t>
      </w:r>
      <w:r w:rsidRPr="007C54CE">
        <w:rPr>
          <w:rFonts w:cs="Arial"/>
          <w:bCs/>
          <w:iCs/>
          <w:szCs w:val="28"/>
        </w:rPr>
        <w:t xml:space="preserve"> </w:t>
      </w:r>
      <w:r w:rsidR="00BB3898">
        <w:rPr>
          <w:rFonts w:cs="Arial"/>
          <w:bCs/>
          <w:iCs/>
          <w:szCs w:val="28"/>
        </w:rPr>
        <w:t>betrug</w:t>
      </w:r>
      <w:r w:rsidRPr="007C54CE">
        <w:rPr>
          <w:rFonts w:cs="Arial"/>
          <w:bCs/>
          <w:iCs/>
          <w:szCs w:val="28"/>
        </w:rPr>
        <w:t xml:space="preserve"> 23,7 Milliarden Euro (+1,3 Prozent), und die Zahl der</w:t>
      </w:r>
      <w:r w:rsidR="00533F85">
        <w:rPr>
          <w:rFonts w:cs="Arial"/>
          <w:bCs/>
          <w:iCs/>
          <w:szCs w:val="28"/>
        </w:rPr>
        <w:t xml:space="preserve"> insgesamt</w:t>
      </w:r>
      <w:r w:rsidRPr="007C54CE">
        <w:rPr>
          <w:rFonts w:cs="Arial"/>
          <w:bCs/>
          <w:iCs/>
          <w:szCs w:val="28"/>
        </w:rPr>
        <w:t xml:space="preserve"> finanzierten Fahrzeuge erreichte 1,63 Millionen Stück (+4,7 Prozent).</w:t>
      </w:r>
    </w:p>
    <w:p w14:paraId="2EB67264" w14:textId="67CBC3B3" w:rsidR="00F71441" w:rsidRPr="007E47A4" w:rsidRDefault="007C54CE" w:rsidP="007E47A4">
      <w:pPr>
        <w:pStyle w:val="Grundtext"/>
        <w:suppressAutoHyphens/>
        <w:spacing w:after="360"/>
      </w:pPr>
      <w:r w:rsidRPr="007C54CE">
        <w:rPr>
          <w:rFonts w:cs="Arial"/>
          <w:bCs/>
          <w:iCs/>
          <w:szCs w:val="28"/>
        </w:rPr>
        <w:t xml:space="preserve">„Wenn Unternehmen ihre Investitionen zurückfahren und </w:t>
      </w:r>
      <w:r w:rsidR="009D1A19">
        <w:rPr>
          <w:rFonts w:cs="Arial"/>
          <w:bCs/>
          <w:iCs/>
          <w:szCs w:val="28"/>
        </w:rPr>
        <w:t>die Verbraucherstimmung auf niedrigem Niveau verharrt</w:t>
      </w:r>
      <w:r w:rsidRPr="007C54CE">
        <w:rPr>
          <w:rFonts w:cs="Arial"/>
          <w:bCs/>
          <w:iCs/>
          <w:szCs w:val="28"/>
        </w:rPr>
        <w:t xml:space="preserve">, bremst das die </w:t>
      </w:r>
      <w:r w:rsidR="003804D5">
        <w:rPr>
          <w:rFonts w:cs="Arial"/>
          <w:bCs/>
          <w:iCs/>
          <w:szCs w:val="28"/>
        </w:rPr>
        <w:t>wirtschaftliche Entwicklung</w:t>
      </w:r>
      <w:r w:rsidRPr="007C54CE">
        <w:rPr>
          <w:rFonts w:cs="Arial"/>
          <w:bCs/>
          <w:iCs/>
          <w:szCs w:val="28"/>
        </w:rPr>
        <w:t xml:space="preserve"> Deutschlands. </w:t>
      </w:r>
      <w:r>
        <w:rPr>
          <w:rFonts w:cs="Arial"/>
          <w:bCs/>
          <w:iCs/>
          <w:szCs w:val="28"/>
        </w:rPr>
        <w:t xml:space="preserve">Die </w:t>
      </w:r>
      <w:r w:rsidRPr="007C54CE">
        <w:rPr>
          <w:rFonts w:cs="Arial"/>
          <w:bCs/>
          <w:iCs/>
          <w:szCs w:val="28"/>
        </w:rPr>
        <w:t>Politik muss jetzt</w:t>
      </w:r>
      <w:r w:rsidR="00BB3898">
        <w:rPr>
          <w:rFonts w:cs="Arial"/>
          <w:bCs/>
          <w:iCs/>
          <w:szCs w:val="28"/>
        </w:rPr>
        <w:t xml:space="preserve"> dringend</w:t>
      </w:r>
      <w:r w:rsidRPr="007C54CE">
        <w:rPr>
          <w:rFonts w:cs="Arial"/>
          <w:bCs/>
          <w:iCs/>
          <w:szCs w:val="28"/>
        </w:rPr>
        <w:t xml:space="preserve"> die richtigen Rahmenbedingungen </w:t>
      </w:r>
      <w:r w:rsidR="007E47A4">
        <w:rPr>
          <w:rFonts w:cs="Arial"/>
          <w:bCs/>
          <w:iCs/>
          <w:szCs w:val="28"/>
        </w:rPr>
        <w:t>schaffen</w:t>
      </w:r>
      <w:r w:rsidRPr="007C54CE">
        <w:rPr>
          <w:rFonts w:cs="Arial"/>
          <w:bCs/>
          <w:iCs/>
          <w:szCs w:val="28"/>
        </w:rPr>
        <w:t xml:space="preserve">, damit Wirtschaft und Gesellschaft gestärkt aus der aktuellen Schwächephase hervorgehen“, so </w:t>
      </w:r>
      <w:r w:rsidR="0073113A">
        <w:rPr>
          <w:rFonts w:cs="Arial"/>
          <w:bCs/>
          <w:iCs/>
          <w:szCs w:val="28"/>
        </w:rPr>
        <w:t>Loa</w:t>
      </w:r>
      <w:r w:rsidRPr="007C54CE">
        <w:rPr>
          <w:rFonts w:cs="Arial"/>
          <w:bCs/>
          <w:iCs/>
          <w:szCs w:val="28"/>
        </w:rPr>
        <w:t>.</w:t>
      </w:r>
      <w:r w:rsidR="00533F85">
        <w:t xml:space="preserve"> </w:t>
      </w:r>
      <w:r w:rsidR="007E47A4" w:rsidRPr="007E47A4">
        <w:t xml:space="preserve">Damit </w:t>
      </w:r>
      <w:r w:rsidR="00BB3898">
        <w:t>die Wirtschaft wieder auf einen nachhaltigen Wachstumspfad zurückkehren kann</w:t>
      </w:r>
      <w:r w:rsidR="007E47A4" w:rsidRPr="007E47A4">
        <w:t xml:space="preserve">, </w:t>
      </w:r>
      <w:r w:rsidR="00E63FE8">
        <w:t>muss</w:t>
      </w:r>
      <w:r w:rsidR="00BB3898">
        <w:t xml:space="preserve"> die Bundesregierung </w:t>
      </w:r>
      <w:r w:rsidR="0007175E">
        <w:t>jetzt</w:t>
      </w:r>
      <w:r w:rsidR="00BB3898">
        <w:t xml:space="preserve"> dringend die ausstehenden Strukturreformen </w:t>
      </w:r>
      <w:r w:rsidR="00E63FE8">
        <w:t>angehen</w:t>
      </w:r>
      <w:r w:rsidR="00E137BA">
        <w:t xml:space="preserve">. </w:t>
      </w:r>
      <w:r w:rsidR="003804D5">
        <w:t>Nur so können</w:t>
      </w:r>
      <w:r w:rsidR="007E47A4" w:rsidRPr="007E47A4">
        <w:t xml:space="preserve"> Wachstum und Wettbewerbsfähigkeit </w:t>
      </w:r>
      <w:r w:rsidR="00533F85">
        <w:t>wieder Fahrt aufnehmen</w:t>
      </w:r>
      <w:r w:rsidR="007E47A4" w:rsidRPr="007E47A4">
        <w:t>.</w:t>
      </w:r>
    </w:p>
    <w:p w14:paraId="284F34DB" w14:textId="77777777" w:rsidR="007C54CE" w:rsidRDefault="003A1675" w:rsidP="00D171C9">
      <w:pPr>
        <w:pStyle w:val="Grundtext"/>
        <w:spacing w:after="360" w:line="240" w:lineRule="exact"/>
        <w:rPr>
          <w:sz w:val="18"/>
          <w:szCs w:val="18"/>
        </w:rPr>
      </w:pPr>
      <w:r w:rsidRPr="003A1675">
        <w:rPr>
          <w:b/>
          <w:sz w:val="18"/>
          <w:szCs w:val="18"/>
        </w:rPr>
        <w:t xml:space="preserve">Der Bankenfachverband (BFACH) </w:t>
      </w:r>
      <w:r w:rsidRPr="003A1675">
        <w:rPr>
          <w:sz w:val="18"/>
          <w:szCs w:val="18"/>
        </w:rPr>
        <w:t xml:space="preserve">vertritt die Interessen der Kreditbanken in Deutschland. Seine Mitglieder sind die Experten für die Finanzierung von Konsum- und Investitionsgütern wie Kraftfahrzeugen aller Art. Die Kreditbanken haben mehr als </w:t>
      </w:r>
      <w:r w:rsidR="00186AA0">
        <w:rPr>
          <w:sz w:val="18"/>
          <w:szCs w:val="18"/>
        </w:rPr>
        <w:t>200</w:t>
      </w:r>
      <w:r w:rsidRPr="003A1675">
        <w:rPr>
          <w:sz w:val="18"/>
          <w:szCs w:val="18"/>
        </w:rPr>
        <w:t xml:space="preserve"> Milliarden Euro an Verbraucher und Unternehmen ausgeliehen und fördern damit Wirtschaft und Konjunktur.</w:t>
      </w:r>
    </w:p>
    <w:p w14:paraId="01AB76D3" w14:textId="46B4A784" w:rsidR="001D7533" w:rsidRPr="0040646D" w:rsidRDefault="00314A84" w:rsidP="0040646D">
      <w:pPr>
        <w:pStyle w:val="Grundtext"/>
        <w:spacing w:after="360" w:line="240" w:lineRule="exact"/>
        <w:rPr>
          <w:rStyle w:val="Hyperlink"/>
          <w:color w:val="auto"/>
          <w:sz w:val="16"/>
          <w:szCs w:val="16"/>
          <w:u w:val="none"/>
        </w:rPr>
      </w:pPr>
      <w:r>
        <w:rPr>
          <w:b/>
          <w:sz w:val="18"/>
          <w:szCs w:val="18"/>
        </w:rPr>
        <w:br/>
      </w:r>
      <w:r w:rsidR="00D171C9" w:rsidRPr="00CD1DE9">
        <w:rPr>
          <w:b/>
          <w:sz w:val="16"/>
          <w:szCs w:val="16"/>
        </w:rPr>
        <w:t>Anlagen</w:t>
      </w:r>
      <w:r w:rsidR="00F71441" w:rsidRPr="00CD1DE9">
        <w:rPr>
          <w:sz w:val="16"/>
          <w:szCs w:val="16"/>
        </w:rPr>
        <w:t>:</w:t>
      </w:r>
      <w:r w:rsidR="0040646D" w:rsidRPr="00CD1DE9">
        <w:rPr>
          <w:sz w:val="16"/>
          <w:szCs w:val="16"/>
        </w:rPr>
        <w:t xml:space="preserve"> </w:t>
      </w:r>
      <w:hyperlink r:id="rId7" w:history="1">
        <w:r w:rsidR="0040646D" w:rsidRPr="00CD1DE9">
          <w:rPr>
            <w:rStyle w:val="Hyperlink"/>
            <w:sz w:val="16"/>
            <w:szCs w:val="16"/>
          </w:rPr>
          <w:t>Geschäftsentwicklung der Kreditbanken: Halbjahreszahlen 2025</w:t>
        </w:r>
      </w:hyperlink>
      <w:bookmarkStart w:id="0" w:name="_GoBack"/>
      <w:bookmarkEnd w:id="0"/>
      <w:r w:rsidR="00272D13" w:rsidRPr="00F71441">
        <w:rPr>
          <w:sz w:val="16"/>
          <w:szCs w:val="16"/>
        </w:rPr>
        <w:br/>
      </w:r>
      <w:r w:rsidR="00272D13" w:rsidRPr="00F71441">
        <w:rPr>
          <w:b/>
          <w:sz w:val="16"/>
          <w:szCs w:val="16"/>
        </w:rPr>
        <w:t>Links:</w:t>
      </w:r>
      <w:r w:rsidR="00F71441" w:rsidRPr="00F71441">
        <w:rPr>
          <w:sz w:val="16"/>
          <w:szCs w:val="16"/>
        </w:rPr>
        <w:t xml:space="preserve"> </w:t>
      </w:r>
      <w:hyperlink r:id="rId8" w:history="1">
        <w:r w:rsidR="007E47A4" w:rsidRPr="0040646D">
          <w:rPr>
            <w:rStyle w:val="Hyperlink"/>
            <w:sz w:val="16"/>
            <w:szCs w:val="16"/>
          </w:rPr>
          <w:t>Kreditbanken</w:t>
        </w:r>
      </w:hyperlink>
      <w:r w:rsidR="007E47A4">
        <w:rPr>
          <w:sz w:val="16"/>
          <w:szCs w:val="16"/>
        </w:rPr>
        <w:t xml:space="preserve"> (Mitgliedsinstitute des Bankenfachverbandes)</w:t>
      </w:r>
      <w:r w:rsidR="00D171C9" w:rsidRPr="00F71441">
        <w:rPr>
          <w:sz w:val="16"/>
          <w:szCs w:val="16"/>
        </w:rPr>
        <w:br/>
      </w:r>
      <w:r w:rsidR="00D171C9" w:rsidRPr="00F71441">
        <w:rPr>
          <w:b/>
          <w:sz w:val="16"/>
          <w:szCs w:val="16"/>
        </w:rPr>
        <w:t>Textfassung</w:t>
      </w:r>
      <w:r w:rsidR="00D171C9" w:rsidRPr="00F71441">
        <w:rPr>
          <w:sz w:val="16"/>
          <w:szCs w:val="16"/>
        </w:rPr>
        <w:t xml:space="preserve">: www.bfach.de / Presse / </w:t>
      </w:r>
      <w:r w:rsidR="001F4831" w:rsidRPr="001F4831">
        <w:rPr>
          <w:sz w:val="16"/>
          <w:szCs w:val="16"/>
        </w:rPr>
        <w:t>17</w:t>
      </w:r>
      <w:r w:rsidR="00F71441" w:rsidRPr="001F4831">
        <w:rPr>
          <w:sz w:val="16"/>
          <w:szCs w:val="16"/>
        </w:rPr>
        <w:t>.</w:t>
      </w:r>
      <w:r w:rsidR="007E47A4">
        <w:rPr>
          <w:sz w:val="16"/>
          <w:szCs w:val="16"/>
        </w:rPr>
        <w:t>09</w:t>
      </w:r>
      <w:r w:rsidR="00F71441">
        <w:rPr>
          <w:sz w:val="16"/>
          <w:szCs w:val="16"/>
        </w:rPr>
        <w:t>.</w:t>
      </w:r>
      <w:r w:rsidR="00A47F5D" w:rsidRPr="00F71441">
        <w:rPr>
          <w:sz w:val="16"/>
          <w:szCs w:val="16"/>
        </w:rPr>
        <w:t>2</w:t>
      </w:r>
      <w:r w:rsidR="007E47A4">
        <w:rPr>
          <w:sz w:val="16"/>
          <w:szCs w:val="16"/>
        </w:rPr>
        <w:t>5</w:t>
      </w:r>
      <w:r w:rsidR="00D171C9" w:rsidRPr="00F71441">
        <w:rPr>
          <w:sz w:val="16"/>
          <w:szCs w:val="16"/>
        </w:rPr>
        <w:br/>
      </w:r>
      <w:r w:rsidR="00D171C9" w:rsidRPr="00F71441">
        <w:rPr>
          <w:b/>
          <w:sz w:val="16"/>
          <w:szCs w:val="16"/>
        </w:rPr>
        <w:t xml:space="preserve">Kontakt: </w:t>
      </w:r>
      <w:r w:rsidR="00D171C9" w:rsidRPr="00F71441">
        <w:rPr>
          <w:sz w:val="16"/>
          <w:szCs w:val="16"/>
        </w:rPr>
        <w:t xml:space="preserve">Bankenfachverband, Stephan Moll, Leiter Markt und PR, Tel. 030 2462596-14, </w:t>
      </w:r>
      <w:hyperlink r:id="rId9" w:history="1">
        <w:r w:rsidR="00603C18" w:rsidRPr="00F71441">
          <w:rPr>
            <w:rStyle w:val="Hyperlink"/>
            <w:sz w:val="16"/>
            <w:szCs w:val="16"/>
          </w:rPr>
          <w:t>stephan.moll@bfach.de</w:t>
        </w:r>
      </w:hyperlink>
    </w:p>
    <w:p w14:paraId="25DA0D17" w14:textId="77777777" w:rsidR="00242DC2" w:rsidRPr="00242DC2" w:rsidRDefault="00242DC2" w:rsidP="0007175E">
      <w:pPr>
        <w:pStyle w:val="Grundtext"/>
        <w:spacing w:after="360" w:line="240" w:lineRule="exact"/>
        <w:rPr>
          <w:b/>
          <w:sz w:val="16"/>
          <w:szCs w:val="16"/>
        </w:rPr>
      </w:pPr>
    </w:p>
    <w:sectPr w:rsidR="00242DC2" w:rsidRPr="00242DC2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3402" w:right="1361" w:bottom="1701" w:left="1701" w:header="249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599AC2" w14:textId="77777777" w:rsidR="00FC7B97" w:rsidRDefault="00FC7B97">
      <w:r>
        <w:separator/>
      </w:r>
    </w:p>
  </w:endnote>
  <w:endnote w:type="continuationSeparator" w:id="0">
    <w:p w14:paraId="321C1BEA" w14:textId="77777777" w:rsidR="00FC7B97" w:rsidRDefault="00FC7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CC9D0" w14:textId="77777777" w:rsidR="001825A2" w:rsidRDefault="001825A2">
    <w:pPr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A290F" w14:textId="77777777" w:rsidR="00881815" w:rsidRDefault="00F84DBF">
    <w:pPr>
      <w:pStyle w:val="Fuzeile"/>
    </w:pPr>
    <w:r>
      <w:rPr>
        <w:noProof/>
        <w:sz w:val="20"/>
      </w:rPr>
      <w:drawing>
        <wp:anchor distT="0" distB="0" distL="114300" distR="114300" simplePos="0" relativeHeight="251660800" behindDoc="1" locked="0" layoutInCell="1" allowOverlap="1" wp14:anchorId="5B2BEA0D" wp14:editId="3EBEEBA2">
          <wp:simplePos x="0" y="0"/>
          <wp:positionH relativeFrom="page">
            <wp:posOffset>0</wp:posOffset>
          </wp:positionH>
          <wp:positionV relativeFrom="page">
            <wp:posOffset>3810</wp:posOffset>
          </wp:positionV>
          <wp:extent cx="7560000" cy="10684800"/>
          <wp:effectExtent l="0" t="0" r="3175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7337A6" w14:textId="77777777" w:rsidR="00FC7B97" w:rsidRDefault="00FC7B97">
      <w:r>
        <w:separator/>
      </w:r>
    </w:p>
  </w:footnote>
  <w:footnote w:type="continuationSeparator" w:id="0">
    <w:p w14:paraId="2FDB16EE" w14:textId="77777777" w:rsidR="00FC7B97" w:rsidRDefault="00FC7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61C93" w14:textId="77777777" w:rsidR="001825A2" w:rsidRDefault="001B6762">
    <w:r>
      <w:rPr>
        <w:noProof/>
        <w:sz w:val="20"/>
      </w:rPr>
      <w:drawing>
        <wp:anchor distT="0" distB="0" distL="114300" distR="114300" simplePos="0" relativeHeight="251658752" behindDoc="0" locked="1" layoutInCell="1" allowOverlap="1" wp14:anchorId="2A1B6946" wp14:editId="78A279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900" cy="1424940"/>
          <wp:effectExtent l="0" t="0" r="0" b="3810"/>
          <wp:wrapNone/>
          <wp:docPr id="12" name="Bild 12" descr="briefbogen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iefbogen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97"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2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A7FBA" w14:textId="77777777" w:rsidR="001825A2" w:rsidRDefault="001B6762">
    <w:r>
      <w:rPr>
        <w:noProof/>
        <w:sz w:val="20"/>
      </w:rPr>
      <w:drawing>
        <wp:anchor distT="0" distB="0" distL="114300" distR="114300" simplePos="0" relativeHeight="251656704" behindDoc="0" locked="1" layoutInCell="1" allowOverlap="1" wp14:anchorId="0C247924" wp14:editId="6E47FFC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900" cy="1972945"/>
          <wp:effectExtent l="0" t="0" r="0" b="8255"/>
          <wp:wrapNone/>
          <wp:docPr id="13" name="Bild 13" descr="Presse-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resse-Inf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619"/>
                  <a:stretch/>
                </pic:blipFill>
                <pic:spPr bwMode="auto">
                  <a:xfrm>
                    <a:off x="0" y="0"/>
                    <a:ext cx="7581900" cy="19729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D95ABC"/>
    <w:multiLevelType w:val="hybridMultilevel"/>
    <w:tmpl w:val="5A32B7CE"/>
    <w:lvl w:ilvl="0" w:tplc="8FA08AF4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color="999999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3D7E2C"/>
    <w:multiLevelType w:val="hybridMultilevel"/>
    <w:tmpl w:val="2174B45E"/>
    <w:lvl w:ilvl="0" w:tplc="F5242172">
      <w:start w:val="1"/>
      <w:numFmt w:val="bullet"/>
      <w:pStyle w:val="AufzhlungMitPunk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AF2F8A"/>
    <w:multiLevelType w:val="hybridMultilevel"/>
    <w:tmpl w:val="DA66277E"/>
    <w:lvl w:ilvl="0" w:tplc="D7A6AC04">
      <w:start w:val="1"/>
      <w:numFmt w:val="bullet"/>
      <w:lvlText w:val=""/>
      <w:lvlJc w:val="left"/>
      <w:pPr>
        <w:tabs>
          <w:tab w:val="num" w:pos="1636"/>
        </w:tabs>
        <w:ind w:left="1503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B97"/>
    <w:rsid w:val="00037EBD"/>
    <w:rsid w:val="0007149B"/>
    <w:rsid w:val="0007175E"/>
    <w:rsid w:val="000828DE"/>
    <w:rsid w:val="0009102C"/>
    <w:rsid w:val="000B7AC5"/>
    <w:rsid w:val="000D4B9C"/>
    <w:rsid w:val="000F611F"/>
    <w:rsid w:val="00114227"/>
    <w:rsid w:val="00144AC2"/>
    <w:rsid w:val="0016197B"/>
    <w:rsid w:val="001825A2"/>
    <w:rsid w:val="00186AA0"/>
    <w:rsid w:val="001A10C2"/>
    <w:rsid w:val="001B6762"/>
    <w:rsid w:val="001D7533"/>
    <w:rsid w:val="001E783A"/>
    <w:rsid w:val="001F41FF"/>
    <w:rsid w:val="001F4831"/>
    <w:rsid w:val="00210DCB"/>
    <w:rsid w:val="00242DC2"/>
    <w:rsid w:val="00272D13"/>
    <w:rsid w:val="00277A3B"/>
    <w:rsid w:val="002943C1"/>
    <w:rsid w:val="002E7170"/>
    <w:rsid w:val="00314A84"/>
    <w:rsid w:val="003804D5"/>
    <w:rsid w:val="00384BD3"/>
    <w:rsid w:val="003932BC"/>
    <w:rsid w:val="003A1675"/>
    <w:rsid w:val="003B5DFB"/>
    <w:rsid w:val="003C41AF"/>
    <w:rsid w:val="003E3A71"/>
    <w:rsid w:val="00405261"/>
    <w:rsid w:val="0040646D"/>
    <w:rsid w:val="00423343"/>
    <w:rsid w:val="004354F4"/>
    <w:rsid w:val="00472BB4"/>
    <w:rsid w:val="004F76EE"/>
    <w:rsid w:val="00525AC1"/>
    <w:rsid w:val="00533F85"/>
    <w:rsid w:val="00587B6B"/>
    <w:rsid w:val="00594916"/>
    <w:rsid w:val="005E5D59"/>
    <w:rsid w:val="00603C18"/>
    <w:rsid w:val="00607FD3"/>
    <w:rsid w:val="006154FF"/>
    <w:rsid w:val="006542CC"/>
    <w:rsid w:val="006571F2"/>
    <w:rsid w:val="006803FF"/>
    <w:rsid w:val="006B50CF"/>
    <w:rsid w:val="006C180D"/>
    <w:rsid w:val="006C6114"/>
    <w:rsid w:val="0071716D"/>
    <w:rsid w:val="0073113A"/>
    <w:rsid w:val="007474DA"/>
    <w:rsid w:val="00771BD5"/>
    <w:rsid w:val="00787795"/>
    <w:rsid w:val="007A35F1"/>
    <w:rsid w:val="007B6AA1"/>
    <w:rsid w:val="007C496F"/>
    <w:rsid w:val="007C54CE"/>
    <w:rsid w:val="007E47A4"/>
    <w:rsid w:val="008102B4"/>
    <w:rsid w:val="00815B37"/>
    <w:rsid w:val="00826CEA"/>
    <w:rsid w:val="00843C04"/>
    <w:rsid w:val="00856D2C"/>
    <w:rsid w:val="00881815"/>
    <w:rsid w:val="00884CBA"/>
    <w:rsid w:val="00906CE2"/>
    <w:rsid w:val="009216AE"/>
    <w:rsid w:val="00945A32"/>
    <w:rsid w:val="009A086A"/>
    <w:rsid w:val="009A47F0"/>
    <w:rsid w:val="009D1A19"/>
    <w:rsid w:val="009E0E24"/>
    <w:rsid w:val="009E24F5"/>
    <w:rsid w:val="00A040E4"/>
    <w:rsid w:val="00A10B11"/>
    <w:rsid w:val="00A47F5D"/>
    <w:rsid w:val="00A62A4C"/>
    <w:rsid w:val="00AA5A54"/>
    <w:rsid w:val="00AE27F3"/>
    <w:rsid w:val="00AE3BCB"/>
    <w:rsid w:val="00AF3891"/>
    <w:rsid w:val="00B34BFC"/>
    <w:rsid w:val="00B96E8F"/>
    <w:rsid w:val="00BB3898"/>
    <w:rsid w:val="00BF7408"/>
    <w:rsid w:val="00C070E7"/>
    <w:rsid w:val="00C20208"/>
    <w:rsid w:val="00C31A1A"/>
    <w:rsid w:val="00C75EA5"/>
    <w:rsid w:val="00CD1DE9"/>
    <w:rsid w:val="00CE6E1F"/>
    <w:rsid w:val="00CF20D9"/>
    <w:rsid w:val="00CF23A3"/>
    <w:rsid w:val="00D171C9"/>
    <w:rsid w:val="00D55FC3"/>
    <w:rsid w:val="00D71B3E"/>
    <w:rsid w:val="00D80504"/>
    <w:rsid w:val="00D808A1"/>
    <w:rsid w:val="00D860EF"/>
    <w:rsid w:val="00DA0695"/>
    <w:rsid w:val="00DF1006"/>
    <w:rsid w:val="00DF6A6A"/>
    <w:rsid w:val="00E04FD9"/>
    <w:rsid w:val="00E137BA"/>
    <w:rsid w:val="00E36BFA"/>
    <w:rsid w:val="00E63FE8"/>
    <w:rsid w:val="00EB2F09"/>
    <w:rsid w:val="00ED0A11"/>
    <w:rsid w:val="00F3533E"/>
    <w:rsid w:val="00F71441"/>
    <w:rsid w:val="00F72B8F"/>
    <w:rsid w:val="00F73CF8"/>
    <w:rsid w:val="00F77C49"/>
    <w:rsid w:val="00F84DBF"/>
    <w:rsid w:val="00F8701A"/>
    <w:rsid w:val="00FA279B"/>
    <w:rsid w:val="00FC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708D703C"/>
  <w15:docId w15:val="{3B5BE7AB-3CDA-4E3D-BDEB-072C04370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pPr>
      <w:tabs>
        <w:tab w:val="left" w:pos="1239"/>
        <w:tab w:val="left" w:pos="3686"/>
        <w:tab w:val="right" w:pos="8845"/>
      </w:tabs>
      <w:spacing w:line="360" w:lineRule="exact"/>
    </w:pPr>
    <w:rPr>
      <w:rFonts w:ascii="Univers" w:hAnsi="Univers"/>
      <w:sz w:val="22"/>
      <w:szCs w:val="24"/>
    </w:rPr>
  </w:style>
  <w:style w:type="paragraph" w:styleId="berschrift1">
    <w:name w:val="heading 1"/>
    <w:basedOn w:val="Standard"/>
    <w:next w:val="Grundtext"/>
    <w:qFormat/>
    <w:pPr>
      <w:keepNext/>
      <w:spacing w:after="360"/>
      <w:outlineLvl w:val="0"/>
    </w:pPr>
    <w:rPr>
      <w:rFonts w:cs="Arial"/>
      <w:b/>
      <w:bCs/>
      <w:kern w:val="32"/>
      <w:sz w:val="26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cs="Arial"/>
      <w:b/>
      <w:bCs/>
      <w:i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Grundtext">
    <w:name w:val="Grundtext"/>
    <w:basedOn w:val="Standard"/>
    <w:link w:val="GrundtextZchn"/>
    <w:pPr>
      <w:tabs>
        <w:tab w:val="clear" w:pos="1239"/>
        <w:tab w:val="clear" w:pos="3686"/>
        <w:tab w:val="clear" w:pos="8845"/>
      </w:tabs>
      <w:spacing w:after="280"/>
    </w:pPr>
  </w:style>
  <w:style w:type="paragraph" w:styleId="Datum">
    <w:name w:val="Date"/>
    <w:basedOn w:val="Standard"/>
    <w:next w:val="Betreff"/>
    <w:pPr>
      <w:spacing w:after="280"/>
    </w:pPr>
  </w:style>
  <w:style w:type="paragraph" w:customStyle="1" w:styleId="Betreff">
    <w:name w:val="Betreff"/>
    <w:basedOn w:val="Standard"/>
    <w:pPr>
      <w:spacing w:after="280"/>
    </w:pPr>
    <w:rPr>
      <w:b/>
    </w:rPr>
  </w:style>
  <w:style w:type="paragraph" w:customStyle="1" w:styleId="Adressen">
    <w:name w:val="Adressen"/>
    <w:basedOn w:val="Standard"/>
  </w:style>
  <w:style w:type="paragraph" w:customStyle="1" w:styleId="AufzhlungMitPunkt">
    <w:name w:val="AufzählungMitPunkt"/>
    <w:basedOn w:val="Grundtext"/>
    <w:pPr>
      <w:numPr>
        <w:numId w:val="2"/>
      </w:numPr>
      <w:tabs>
        <w:tab w:val="num" w:pos="357"/>
      </w:tabs>
      <w:spacing w:after="0" w:line="264" w:lineRule="auto"/>
      <w:ind w:left="357" w:hanging="357"/>
    </w:pPr>
  </w:style>
  <w:style w:type="paragraph" w:customStyle="1" w:styleId="EingercktOhnePunkt">
    <w:name w:val="EingerücktOhnePunkt"/>
    <w:basedOn w:val="Grundtext"/>
    <w:pPr>
      <w:spacing w:after="0" w:line="264" w:lineRule="auto"/>
      <w:ind w:left="714"/>
    </w:pPr>
  </w:style>
  <w:style w:type="table" w:styleId="Tabellenraster">
    <w:name w:val="Table Grid"/>
    <w:basedOn w:val="NormaleTabelle"/>
    <w:rsid w:val="004354F4"/>
    <w:pPr>
      <w:tabs>
        <w:tab w:val="left" w:pos="1239"/>
        <w:tab w:val="left" w:pos="3686"/>
        <w:tab w:val="right" w:pos="8845"/>
      </w:tabs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undtextZchn">
    <w:name w:val="Grundtext Zchn"/>
    <w:basedOn w:val="Absatz-Standardschriftart"/>
    <w:link w:val="Grundtext"/>
    <w:rsid w:val="004354F4"/>
    <w:rPr>
      <w:rFonts w:ascii="Univers" w:hAnsi="Univers"/>
      <w:sz w:val="22"/>
      <w:szCs w:val="24"/>
      <w:lang w:val="de-DE" w:eastAsia="de-DE" w:bidi="ar-SA"/>
    </w:rPr>
  </w:style>
  <w:style w:type="paragraph" w:styleId="StandardWeb">
    <w:name w:val="Normal (Web)"/>
    <w:basedOn w:val="Standard"/>
    <w:rsid w:val="0016197B"/>
    <w:pPr>
      <w:tabs>
        <w:tab w:val="clear" w:pos="1239"/>
        <w:tab w:val="clear" w:pos="3686"/>
        <w:tab w:val="clear" w:pos="8845"/>
      </w:tabs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</w:rPr>
  </w:style>
  <w:style w:type="character" w:styleId="Hyperlink">
    <w:name w:val="Hyperlink"/>
    <w:basedOn w:val="Absatz-Standardschriftart"/>
    <w:rsid w:val="00D860EF"/>
    <w:rPr>
      <w:color w:val="0000FF"/>
      <w:u w:val="single"/>
    </w:rPr>
  </w:style>
  <w:style w:type="paragraph" w:styleId="Kopfzeile">
    <w:name w:val="header"/>
    <w:basedOn w:val="Standard"/>
    <w:link w:val="KopfzeileZchn"/>
    <w:rsid w:val="00D171C9"/>
    <w:pPr>
      <w:tabs>
        <w:tab w:val="clear" w:pos="1239"/>
        <w:tab w:val="clear" w:pos="3686"/>
        <w:tab w:val="clear" w:pos="8845"/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D171C9"/>
    <w:rPr>
      <w:rFonts w:ascii="Univers" w:hAnsi="Univers"/>
      <w:sz w:val="22"/>
      <w:szCs w:val="24"/>
    </w:rPr>
  </w:style>
  <w:style w:type="paragraph" w:styleId="Fuzeile">
    <w:name w:val="footer"/>
    <w:basedOn w:val="Standard"/>
    <w:link w:val="FuzeileZchn"/>
    <w:rsid w:val="00D171C9"/>
    <w:pPr>
      <w:tabs>
        <w:tab w:val="clear" w:pos="1239"/>
        <w:tab w:val="clear" w:pos="3686"/>
        <w:tab w:val="clear" w:pos="8845"/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D171C9"/>
    <w:rPr>
      <w:rFonts w:ascii="Univers" w:hAnsi="Univers"/>
      <w:sz w:val="22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03C18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semiHidden/>
    <w:unhideWhenUsed/>
    <w:rsid w:val="000F611F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0F611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11F"/>
    <w:rPr>
      <w:rFonts w:ascii="Univers" w:hAnsi="Univer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F611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F611F"/>
    <w:rPr>
      <w:rFonts w:ascii="Univers" w:hAnsi="Univers"/>
      <w:b/>
      <w:bCs/>
    </w:rPr>
  </w:style>
  <w:style w:type="paragraph" w:styleId="berarbeitung">
    <w:name w:val="Revision"/>
    <w:hidden/>
    <w:uiPriority w:val="99"/>
    <w:semiHidden/>
    <w:rsid w:val="000F611F"/>
    <w:rPr>
      <w:rFonts w:ascii="Univers" w:hAnsi="Univers"/>
      <w:sz w:val="22"/>
      <w:szCs w:val="24"/>
    </w:rPr>
  </w:style>
  <w:style w:type="paragraph" w:styleId="Sprechblasentext">
    <w:name w:val="Balloon Text"/>
    <w:basedOn w:val="Standard"/>
    <w:link w:val="SprechblasentextZchn"/>
    <w:rsid w:val="000F61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0F61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l.bfach.de/bankenfachverband.php/cat/36/title/Verzeichnis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ssl.bfach.de/media/file/64141.BFACH_Halbjahreszahlen_2025.pdf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tephan.moll@bfach.de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ll\AppData\Roaming\Microsoft\Templates\BFACH-PI_23-MM-TT_Titel_Entwurf%20Mo_mod.dotx" TargetMode="External"/></Relationships>
</file>

<file path=word/theme/theme1.xml><?xml version="1.0" encoding="utf-8"?>
<a:theme xmlns:a="http://schemas.openxmlformats.org/drawingml/2006/main" name="Larissa">
  <a:themeElements>
    <a:clrScheme name="BFACH">
      <a:dk1>
        <a:srgbClr val="000000"/>
      </a:dk1>
      <a:lt1>
        <a:srgbClr val="FFFFFF"/>
      </a:lt1>
      <a:dk2>
        <a:srgbClr val="FFFFFF"/>
      </a:dk2>
      <a:lt2>
        <a:srgbClr val="000000"/>
      </a:lt2>
      <a:accent1>
        <a:srgbClr val="000000"/>
      </a:accent1>
      <a:accent2>
        <a:srgbClr val="004E9E"/>
      </a:accent2>
      <a:accent3>
        <a:srgbClr val="AB0059"/>
      </a:accent3>
      <a:accent4>
        <a:srgbClr val="808080"/>
      </a:accent4>
      <a:accent5>
        <a:srgbClr val="FF0000"/>
      </a:accent5>
      <a:accent6>
        <a:srgbClr val="0000FF"/>
      </a:accent6>
      <a:hlink>
        <a:srgbClr val="004E9E"/>
      </a:hlink>
      <a:folHlink>
        <a:srgbClr val="AB0059"/>
      </a:folHlink>
    </a:clrScheme>
    <a:fontScheme name="BFACH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BFACH-PI_23-MM-TT_Titel_Entwurf Mo_mod.dotx</Template>
  <TotalTime>0</TotalTime>
  <Pages>2</Pages>
  <Words>488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Adresse1</vt:lpstr>
    </vt:vector>
  </TitlesOfParts>
  <Company/>
  <LinksUpToDate>false</LinksUpToDate>
  <CharactersWithSpaces>4057</CharactersWithSpaces>
  <SharedDoc>false</SharedDoc>
  <HLinks>
    <vt:vector size="6" baseType="variant">
      <vt:variant>
        <vt:i4>8192013</vt:i4>
      </vt:variant>
      <vt:variant>
        <vt:i4>0</vt:i4>
      </vt:variant>
      <vt:variant>
        <vt:i4>0</vt:i4>
      </vt:variant>
      <vt:variant>
        <vt:i4>5</vt:i4>
      </vt:variant>
      <vt:variant>
        <vt:lpwstr>mailto:stephan.moll@bfach.de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Adresse1</dc:title>
  <dc:creator>Technik</dc:creator>
  <cp:lastModifiedBy>Nermana Ljubuncic</cp:lastModifiedBy>
  <cp:revision>3</cp:revision>
  <cp:lastPrinted>2025-09-08T08:45:00Z</cp:lastPrinted>
  <dcterms:created xsi:type="dcterms:W3CDTF">2025-09-15T15:20:00Z</dcterms:created>
  <dcterms:modified xsi:type="dcterms:W3CDTF">2025-09-16T07:00:00Z</dcterms:modified>
</cp:coreProperties>
</file>